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5C24" w14:textId="6B5094A4" w:rsidR="00210CEF" w:rsidRDefault="00210CEF" w:rsidP="00210CEF">
      <w:pPr>
        <w:pStyle w:val="P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Appendix </w:t>
      </w:r>
      <w:r w:rsidR="0098104B">
        <w:rPr>
          <w:rFonts w:asciiTheme="minorHAnsi" w:hAnsiTheme="minorHAnsi" w:cstheme="minorHAnsi"/>
          <w:sz w:val="28"/>
          <w:szCs w:val="28"/>
        </w:rPr>
        <w:t>1</w:t>
      </w:r>
    </w:p>
    <w:p w14:paraId="5BF08D8B" w14:textId="77777777" w:rsidR="00210CEF" w:rsidRPr="007C7116" w:rsidRDefault="00210CEF" w:rsidP="0004412D">
      <w:pPr>
        <w:pStyle w:val="P"/>
        <w:rPr>
          <w:rFonts w:asciiTheme="minorHAnsi" w:hAnsiTheme="minorHAnsi" w:cstheme="minorHAnsi"/>
          <w:b/>
          <w:sz w:val="28"/>
          <w:szCs w:val="28"/>
        </w:rPr>
      </w:pPr>
      <w:r w:rsidRPr="007C7116">
        <w:rPr>
          <w:rFonts w:asciiTheme="minorHAnsi" w:hAnsiTheme="minorHAnsi" w:cstheme="minorHAnsi"/>
          <w:b/>
          <w:sz w:val="28"/>
          <w:szCs w:val="28"/>
        </w:rPr>
        <w:t>Summary Directorate Variances</w:t>
      </w:r>
    </w:p>
    <w:p w14:paraId="3672FDBD" w14:textId="77777777" w:rsidR="00210CEF" w:rsidRPr="007C7116" w:rsidRDefault="00210CEF" w:rsidP="0004412D">
      <w:pPr>
        <w:pStyle w:val="P"/>
        <w:rPr>
          <w:rFonts w:asciiTheme="minorHAnsi" w:hAnsiTheme="minorHAnsi" w:cstheme="minorHAnsi"/>
          <w:b/>
          <w:szCs w:val="24"/>
        </w:rPr>
      </w:pPr>
      <w:r w:rsidRPr="007C7116">
        <w:rPr>
          <w:rFonts w:asciiTheme="minorHAnsi" w:hAnsiTheme="minorHAnsi" w:cstheme="minorHAnsi"/>
          <w:b/>
          <w:szCs w:val="24"/>
        </w:rPr>
        <w:t>Community Wellbeing</w:t>
      </w:r>
    </w:p>
    <w:p w14:paraId="747D193E" w14:textId="766D96E5" w:rsidR="00210CEF" w:rsidRPr="00565383" w:rsidRDefault="00210CEF" w:rsidP="00210CEF">
      <w:pPr>
        <w:pStyle w:val="P"/>
        <w:rPr>
          <w:rFonts w:asciiTheme="minorHAnsi" w:hAnsiTheme="minorHAnsi" w:cstheme="minorHAnsi"/>
          <w:szCs w:val="24"/>
        </w:rPr>
      </w:pPr>
      <w:r w:rsidRPr="00565383">
        <w:rPr>
          <w:rFonts w:asciiTheme="minorHAnsi" w:hAnsiTheme="minorHAnsi" w:cstheme="minorHAnsi"/>
          <w:szCs w:val="24"/>
        </w:rPr>
        <w:t xml:space="preserve">The Community Wellbeing Directorate is currently forecast to be </w:t>
      </w:r>
      <w:r w:rsidR="00963E4D">
        <w:rPr>
          <w:rFonts w:asciiTheme="minorHAnsi" w:hAnsiTheme="minorHAnsi" w:cstheme="minorHAnsi"/>
          <w:szCs w:val="24"/>
        </w:rPr>
        <w:t>overspent by £0.113</w:t>
      </w:r>
      <w:r w:rsidR="00504C66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million</w:t>
      </w:r>
      <w:r w:rsidRPr="00565383">
        <w:rPr>
          <w:rFonts w:asciiTheme="minorHAnsi" w:hAnsiTheme="minorHAnsi" w:cstheme="minorHAnsi"/>
          <w:szCs w:val="24"/>
        </w:rPr>
        <w:t>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815"/>
        <w:gridCol w:w="1366"/>
        <w:gridCol w:w="1469"/>
        <w:gridCol w:w="1559"/>
      </w:tblGrid>
      <w:tr w:rsidR="00210CEF" w:rsidRPr="00565383" w14:paraId="665BF9AB" w14:textId="77777777">
        <w:tc>
          <w:tcPr>
            <w:tcW w:w="4815" w:type="dxa"/>
          </w:tcPr>
          <w:p w14:paraId="7E3E5AB4" w14:textId="77777777" w:rsidR="00210CEF" w:rsidRPr="00565383" w:rsidRDefault="00210CEF">
            <w:pPr>
              <w:pStyle w:val="P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92A9CE8" w14:textId="77777777" w:rsidR="00210CEF" w:rsidRPr="00565383" w:rsidRDefault="00210CEF">
            <w:pPr>
              <w:pStyle w:val="P"/>
              <w:jc w:val="center"/>
              <w:rPr>
                <w:rFonts w:asciiTheme="minorHAnsi" w:hAnsiTheme="minorHAnsi" w:cstheme="minorHAnsi"/>
                <w:szCs w:val="24"/>
              </w:rPr>
            </w:pPr>
            <w:r w:rsidRPr="00565383">
              <w:rPr>
                <w:rFonts w:asciiTheme="minorHAnsi" w:hAnsiTheme="minorHAnsi" w:cstheme="minorHAnsi"/>
                <w:szCs w:val="24"/>
              </w:rPr>
              <w:t>Community Wellbeing</w:t>
            </w:r>
          </w:p>
        </w:tc>
        <w:tc>
          <w:tcPr>
            <w:tcW w:w="1366" w:type="dxa"/>
          </w:tcPr>
          <w:p w14:paraId="32D25151" w14:textId="77777777" w:rsidR="00210CEF" w:rsidRPr="00565383" w:rsidRDefault="00210CEF">
            <w:pPr>
              <w:pStyle w:val="P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2023/24 </w:t>
            </w:r>
            <w:r w:rsidRPr="00FE15D6">
              <w:rPr>
                <w:rFonts w:asciiTheme="minorHAnsi" w:hAnsiTheme="minorHAnsi" w:cstheme="minorHAnsi"/>
                <w:sz w:val="28"/>
                <w:szCs w:val="28"/>
              </w:rPr>
              <w:t>Revised Budget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</w:t>
            </w:r>
            <w:r w:rsidRPr="00FE15D6">
              <w:rPr>
                <w:rFonts w:asciiTheme="minorHAnsi" w:hAnsiTheme="minorHAnsi" w:cstheme="minorHAnsi"/>
                <w:sz w:val="28"/>
                <w:szCs w:val="28"/>
              </w:rPr>
              <w:t>£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million</w:t>
            </w:r>
          </w:p>
        </w:tc>
        <w:tc>
          <w:tcPr>
            <w:tcW w:w="1469" w:type="dxa"/>
          </w:tcPr>
          <w:p w14:paraId="49864C85" w14:textId="77777777" w:rsidR="00210CEF" w:rsidRPr="00565383" w:rsidRDefault="00210CEF">
            <w:pPr>
              <w:pStyle w:val="P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2023/24 </w:t>
            </w:r>
            <w:r w:rsidRPr="00FE15D6">
              <w:rPr>
                <w:rFonts w:asciiTheme="minorHAnsi" w:hAnsiTheme="minorHAnsi" w:cstheme="minorHAnsi"/>
                <w:sz w:val="28"/>
                <w:szCs w:val="28"/>
              </w:rPr>
              <w:t xml:space="preserve">Year-end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Forecast        </w:t>
            </w:r>
            <w:r w:rsidRPr="00FE15D6">
              <w:rPr>
                <w:rFonts w:asciiTheme="minorHAnsi" w:hAnsiTheme="minorHAnsi" w:cstheme="minorHAnsi"/>
                <w:sz w:val="28"/>
                <w:szCs w:val="28"/>
              </w:rPr>
              <w:t>£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million</w:t>
            </w:r>
          </w:p>
        </w:tc>
        <w:tc>
          <w:tcPr>
            <w:tcW w:w="1559" w:type="dxa"/>
          </w:tcPr>
          <w:p w14:paraId="403257B8" w14:textId="77777777" w:rsidR="00210CEF" w:rsidRPr="00565383" w:rsidRDefault="00210CEF">
            <w:pPr>
              <w:pStyle w:val="P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2023/24 </w:t>
            </w:r>
            <w:r w:rsidRPr="00FE15D6">
              <w:rPr>
                <w:rFonts w:asciiTheme="minorHAnsi" w:hAnsiTheme="minorHAnsi" w:cstheme="minorHAnsi"/>
                <w:sz w:val="28"/>
                <w:szCs w:val="28"/>
              </w:rPr>
              <w:t xml:space="preserve">Variance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FE15D6">
              <w:rPr>
                <w:rFonts w:asciiTheme="minorHAnsi" w:hAnsiTheme="minorHAnsi" w:cstheme="minorHAnsi"/>
                <w:sz w:val="28"/>
                <w:szCs w:val="28"/>
              </w:rPr>
              <w:t>£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million</w:t>
            </w:r>
          </w:p>
        </w:tc>
      </w:tr>
      <w:tr w:rsidR="00210CEF" w:rsidRPr="00565383" w14:paraId="57FF8A4B" w14:textId="77777777">
        <w:tc>
          <w:tcPr>
            <w:tcW w:w="4815" w:type="dxa"/>
            <w:vAlign w:val="bottom"/>
          </w:tcPr>
          <w:p w14:paraId="71860E6D" w14:textId="77777777" w:rsidR="00210CEF" w:rsidRPr="00565383" w:rsidRDefault="00210CEF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 w:rsidRPr="004B37CD">
              <w:rPr>
                <w:rFonts w:cs="Calibri"/>
                <w:color w:val="000000"/>
                <w:szCs w:val="24"/>
              </w:rPr>
              <w:t>Communication</w:t>
            </w:r>
            <w:r w:rsidRPr="00565383">
              <w:rPr>
                <w:rFonts w:cs="Calibri"/>
                <w:color w:val="000000"/>
                <w:szCs w:val="24"/>
              </w:rPr>
              <w:t>s</w:t>
            </w:r>
            <w:r w:rsidRPr="004B37CD">
              <w:rPr>
                <w:rFonts w:cs="Calibri"/>
                <w:color w:val="000000"/>
                <w:szCs w:val="24"/>
              </w:rPr>
              <w:t xml:space="preserve"> &amp; Customer Services</w:t>
            </w:r>
          </w:p>
        </w:tc>
        <w:tc>
          <w:tcPr>
            <w:tcW w:w="1366" w:type="dxa"/>
            <w:vAlign w:val="bottom"/>
          </w:tcPr>
          <w:p w14:paraId="3EE46EB9" w14:textId="21C3BADD" w:rsidR="00210CEF" w:rsidRPr="00565383" w:rsidRDefault="006169B2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1.520</w:t>
            </w:r>
          </w:p>
        </w:tc>
        <w:tc>
          <w:tcPr>
            <w:tcW w:w="1469" w:type="dxa"/>
            <w:vAlign w:val="bottom"/>
          </w:tcPr>
          <w:p w14:paraId="5C788440" w14:textId="312D15DB" w:rsidR="00210CEF" w:rsidRPr="00565383" w:rsidRDefault="00C76DC8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1.430</w:t>
            </w:r>
          </w:p>
        </w:tc>
        <w:tc>
          <w:tcPr>
            <w:tcW w:w="1559" w:type="dxa"/>
            <w:vAlign w:val="bottom"/>
          </w:tcPr>
          <w:p w14:paraId="16766B50" w14:textId="0EE78D1D" w:rsidR="00210CEF" w:rsidRPr="00565383" w:rsidRDefault="000E26A6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(0.090)</w:t>
            </w:r>
          </w:p>
        </w:tc>
      </w:tr>
      <w:tr w:rsidR="00210CEF" w:rsidRPr="00565383" w14:paraId="51EAB086" w14:textId="77777777">
        <w:tc>
          <w:tcPr>
            <w:tcW w:w="4815" w:type="dxa"/>
            <w:vAlign w:val="bottom"/>
          </w:tcPr>
          <w:p w14:paraId="01693BDD" w14:textId="77777777" w:rsidR="00210CEF" w:rsidRPr="00565383" w:rsidRDefault="00210CEF">
            <w:pPr>
              <w:pStyle w:val="P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37CD">
              <w:rPr>
                <w:rFonts w:cs="Calibri"/>
                <w:color w:val="000000"/>
                <w:szCs w:val="24"/>
              </w:rPr>
              <w:t>Community Services</w:t>
            </w:r>
          </w:p>
        </w:tc>
        <w:tc>
          <w:tcPr>
            <w:tcW w:w="1366" w:type="dxa"/>
            <w:vAlign w:val="bottom"/>
          </w:tcPr>
          <w:p w14:paraId="3D2A2DE1" w14:textId="329FA569" w:rsidR="00210CEF" w:rsidRPr="00393751" w:rsidRDefault="006169B2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4.034</w:t>
            </w:r>
          </w:p>
        </w:tc>
        <w:tc>
          <w:tcPr>
            <w:tcW w:w="1469" w:type="dxa"/>
            <w:vAlign w:val="bottom"/>
          </w:tcPr>
          <w:p w14:paraId="162EEB1B" w14:textId="729D9E8E" w:rsidR="00210CEF" w:rsidRPr="00393751" w:rsidRDefault="00C76DC8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3.647</w:t>
            </w:r>
          </w:p>
        </w:tc>
        <w:tc>
          <w:tcPr>
            <w:tcW w:w="1559" w:type="dxa"/>
            <w:vAlign w:val="bottom"/>
          </w:tcPr>
          <w:p w14:paraId="20FE2C00" w14:textId="1EF333B4" w:rsidR="00210CEF" w:rsidRPr="00393751" w:rsidRDefault="0062341B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(0.387)</w:t>
            </w:r>
          </w:p>
        </w:tc>
      </w:tr>
      <w:tr w:rsidR="00210CEF" w:rsidRPr="00565383" w14:paraId="4101A9A4" w14:textId="77777777">
        <w:tc>
          <w:tcPr>
            <w:tcW w:w="4815" w:type="dxa"/>
            <w:vAlign w:val="bottom"/>
          </w:tcPr>
          <w:p w14:paraId="3382EB2F" w14:textId="77777777" w:rsidR="00210CEF" w:rsidRPr="00565383" w:rsidRDefault="00210CEF">
            <w:pPr>
              <w:pStyle w:val="P"/>
              <w:rPr>
                <w:rFonts w:cs="Calibri"/>
                <w:color w:val="000000"/>
                <w:szCs w:val="24"/>
              </w:rPr>
            </w:pPr>
            <w:r w:rsidRPr="004B37CD">
              <w:rPr>
                <w:rFonts w:cs="Calibri"/>
                <w:color w:val="000000"/>
                <w:szCs w:val="24"/>
              </w:rPr>
              <w:t>Environmental Services</w:t>
            </w:r>
          </w:p>
        </w:tc>
        <w:tc>
          <w:tcPr>
            <w:tcW w:w="1366" w:type="dxa"/>
            <w:vAlign w:val="bottom"/>
          </w:tcPr>
          <w:p w14:paraId="40853022" w14:textId="3400DB20" w:rsidR="00210CEF" w:rsidRPr="00FE4237" w:rsidRDefault="00045F91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10.463</w:t>
            </w:r>
          </w:p>
        </w:tc>
        <w:tc>
          <w:tcPr>
            <w:tcW w:w="1469" w:type="dxa"/>
            <w:vAlign w:val="bottom"/>
          </w:tcPr>
          <w:p w14:paraId="50945BD2" w14:textId="67B157C9" w:rsidR="00210CEF" w:rsidRPr="00FE4237" w:rsidRDefault="00C76DC8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10.542</w:t>
            </w:r>
          </w:p>
        </w:tc>
        <w:tc>
          <w:tcPr>
            <w:tcW w:w="1559" w:type="dxa"/>
            <w:vAlign w:val="bottom"/>
          </w:tcPr>
          <w:p w14:paraId="66936E77" w14:textId="6A53E051" w:rsidR="00210CEF" w:rsidRPr="00FE4237" w:rsidRDefault="0062341B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0.079</w:t>
            </w:r>
          </w:p>
        </w:tc>
      </w:tr>
      <w:tr w:rsidR="00210CEF" w:rsidRPr="00565383" w14:paraId="2241C3BF" w14:textId="77777777">
        <w:tc>
          <w:tcPr>
            <w:tcW w:w="4815" w:type="dxa"/>
            <w:vAlign w:val="bottom"/>
          </w:tcPr>
          <w:p w14:paraId="77D5CD52" w14:textId="77777777" w:rsidR="00210CEF" w:rsidRPr="00565383" w:rsidRDefault="00210CEF">
            <w:pPr>
              <w:pStyle w:val="P"/>
              <w:rPr>
                <w:rFonts w:cs="Calibri"/>
                <w:color w:val="000000"/>
                <w:szCs w:val="24"/>
              </w:rPr>
            </w:pPr>
            <w:r w:rsidRPr="004B37CD">
              <w:rPr>
                <w:rFonts w:cs="Calibri"/>
                <w:color w:val="000000"/>
                <w:szCs w:val="24"/>
              </w:rPr>
              <w:t>Housing Services</w:t>
            </w:r>
          </w:p>
        </w:tc>
        <w:tc>
          <w:tcPr>
            <w:tcW w:w="1366" w:type="dxa"/>
            <w:vAlign w:val="bottom"/>
          </w:tcPr>
          <w:p w14:paraId="6032AD56" w14:textId="7B513BAF" w:rsidR="00210CEF" w:rsidRPr="00FE4237" w:rsidRDefault="00275B31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1.953</w:t>
            </w:r>
          </w:p>
        </w:tc>
        <w:tc>
          <w:tcPr>
            <w:tcW w:w="1469" w:type="dxa"/>
            <w:vAlign w:val="bottom"/>
          </w:tcPr>
          <w:p w14:paraId="1330A179" w14:textId="5A296EDD" w:rsidR="00210CEF" w:rsidRPr="00FE4237" w:rsidRDefault="00C76DC8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2.530</w:t>
            </w:r>
          </w:p>
        </w:tc>
        <w:tc>
          <w:tcPr>
            <w:tcW w:w="1559" w:type="dxa"/>
            <w:vAlign w:val="bottom"/>
          </w:tcPr>
          <w:p w14:paraId="4BAF61A5" w14:textId="08E43A0B" w:rsidR="00210CEF" w:rsidRPr="00FE4237" w:rsidRDefault="0062341B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0.577</w:t>
            </w:r>
          </w:p>
        </w:tc>
      </w:tr>
      <w:tr w:rsidR="00BC472F" w:rsidRPr="00565383" w14:paraId="419373F0" w14:textId="77777777">
        <w:tc>
          <w:tcPr>
            <w:tcW w:w="4815" w:type="dxa"/>
            <w:vAlign w:val="bottom"/>
          </w:tcPr>
          <w:p w14:paraId="38B6FEC3" w14:textId="16E26EEF" w:rsidR="00BC472F" w:rsidRPr="004B37CD" w:rsidRDefault="00BC472F">
            <w:pPr>
              <w:pStyle w:val="P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Nor</w:t>
            </w:r>
            <w:r w:rsidR="006C4EFD">
              <w:rPr>
                <w:rFonts w:cs="Calibri"/>
                <w:color w:val="000000"/>
                <w:szCs w:val="24"/>
              </w:rPr>
              <w:t>th Downs Housing</w:t>
            </w:r>
          </w:p>
        </w:tc>
        <w:tc>
          <w:tcPr>
            <w:tcW w:w="1366" w:type="dxa"/>
            <w:vAlign w:val="bottom"/>
          </w:tcPr>
          <w:p w14:paraId="5F5851A2" w14:textId="6203DECB" w:rsidR="00BC472F" w:rsidRDefault="006C4EFD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0.0</w:t>
            </w:r>
            <w:r w:rsidR="000E26A6">
              <w:rPr>
                <w:rFonts w:asciiTheme="minorHAnsi" w:hAnsiTheme="minorHAnsi" w:cstheme="minorHAnsi"/>
                <w:szCs w:val="24"/>
              </w:rPr>
              <w:t>04</w:t>
            </w:r>
          </w:p>
        </w:tc>
        <w:tc>
          <w:tcPr>
            <w:tcW w:w="1469" w:type="dxa"/>
            <w:vAlign w:val="bottom"/>
          </w:tcPr>
          <w:p w14:paraId="5A40A90A" w14:textId="064F0515" w:rsidR="00BC472F" w:rsidRDefault="000E26A6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(0.041)</w:t>
            </w:r>
          </w:p>
        </w:tc>
        <w:tc>
          <w:tcPr>
            <w:tcW w:w="1559" w:type="dxa"/>
            <w:vAlign w:val="bottom"/>
          </w:tcPr>
          <w:p w14:paraId="7DA1C1C4" w14:textId="49FF2D26" w:rsidR="00BC472F" w:rsidRDefault="0062341B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(0.045)</w:t>
            </w:r>
          </w:p>
        </w:tc>
      </w:tr>
      <w:tr w:rsidR="00210CEF" w:rsidRPr="00565383" w14:paraId="640BA470" w14:textId="77777777">
        <w:tc>
          <w:tcPr>
            <w:tcW w:w="4815" w:type="dxa"/>
            <w:vAlign w:val="bottom"/>
          </w:tcPr>
          <w:p w14:paraId="4FFF30D5" w14:textId="77777777" w:rsidR="00210CEF" w:rsidRPr="00565383" w:rsidRDefault="00210CEF">
            <w:pPr>
              <w:pStyle w:val="P"/>
              <w:rPr>
                <w:rFonts w:cs="Calibri"/>
                <w:color w:val="000000"/>
                <w:szCs w:val="24"/>
              </w:rPr>
            </w:pPr>
            <w:r w:rsidRPr="00565383">
              <w:rPr>
                <w:rFonts w:cs="Calibri"/>
                <w:color w:val="000000"/>
                <w:szCs w:val="24"/>
              </w:rPr>
              <w:t>Total Community Wellbeing</w:t>
            </w:r>
          </w:p>
        </w:tc>
        <w:tc>
          <w:tcPr>
            <w:tcW w:w="1366" w:type="dxa"/>
            <w:vAlign w:val="bottom"/>
          </w:tcPr>
          <w:p w14:paraId="0C0128EF" w14:textId="633A68FF" w:rsidR="00210CEF" w:rsidRPr="00565383" w:rsidRDefault="000E26A6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17.973</w:t>
            </w:r>
          </w:p>
        </w:tc>
        <w:tc>
          <w:tcPr>
            <w:tcW w:w="1469" w:type="dxa"/>
            <w:vAlign w:val="bottom"/>
          </w:tcPr>
          <w:p w14:paraId="238C0C3A" w14:textId="4EF303F5" w:rsidR="00210CEF" w:rsidRPr="00565383" w:rsidRDefault="000E26A6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18.108</w:t>
            </w:r>
          </w:p>
        </w:tc>
        <w:tc>
          <w:tcPr>
            <w:tcW w:w="1559" w:type="dxa"/>
            <w:vAlign w:val="bottom"/>
          </w:tcPr>
          <w:p w14:paraId="4EBDD7C6" w14:textId="680F36DD" w:rsidR="00210CEF" w:rsidRPr="00565383" w:rsidRDefault="000E26A6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0.134</w:t>
            </w:r>
          </w:p>
        </w:tc>
      </w:tr>
    </w:tbl>
    <w:p w14:paraId="2DB050E7" w14:textId="77777777" w:rsidR="00210CEF" w:rsidRPr="00565383" w:rsidRDefault="00210CEF" w:rsidP="00210CEF">
      <w:pPr>
        <w:pStyle w:val="P"/>
        <w:rPr>
          <w:rFonts w:asciiTheme="minorHAnsi" w:hAnsiTheme="minorHAnsi" w:cstheme="minorHAnsi"/>
          <w:szCs w:val="24"/>
        </w:rPr>
      </w:pPr>
    </w:p>
    <w:p w14:paraId="601C7D31" w14:textId="128DF7F2" w:rsidR="00210CEF" w:rsidRPr="00565383" w:rsidRDefault="00210CEF" w:rsidP="00210CEF">
      <w:pPr>
        <w:pStyle w:val="P"/>
        <w:rPr>
          <w:rFonts w:asciiTheme="minorHAnsi" w:hAnsiTheme="minorHAnsi" w:cstheme="minorHAnsi"/>
          <w:szCs w:val="24"/>
        </w:rPr>
      </w:pPr>
      <w:r w:rsidRPr="00565383">
        <w:rPr>
          <w:rFonts w:asciiTheme="minorHAnsi" w:hAnsiTheme="minorHAnsi" w:cstheme="minorHAnsi"/>
          <w:szCs w:val="24"/>
        </w:rPr>
        <w:t xml:space="preserve">The key variances are detailed </w:t>
      </w:r>
      <w:r w:rsidR="0004412D" w:rsidRPr="00565383">
        <w:rPr>
          <w:rFonts w:asciiTheme="minorHAnsi" w:hAnsiTheme="minorHAnsi" w:cstheme="minorHAnsi"/>
          <w:szCs w:val="24"/>
        </w:rPr>
        <w:t>below.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47"/>
        <w:gridCol w:w="1984"/>
        <w:gridCol w:w="4678"/>
      </w:tblGrid>
      <w:tr w:rsidR="00210CEF" w:rsidRPr="00565383" w14:paraId="74E7930D" w14:textId="77777777" w:rsidTr="726148CE">
        <w:tc>
          <w:tcPr>
            <w:tcW w:w="2547" w:type="dxa"/>
          </w:tcPr>
          <w:p w14:paraId="3FFBA162" w14:textId="77777777" w:rsidR="00210CEF" w:rsidRPr="00565383" w:rsidRDefault="00210CEF">
            <w:pPr>
              <w:pStyle w:val="P"/>
              <w:jc w:val="center"/>
              <w:rPr>
                <w:rFonts w:asciiTheme="minorHAnsi" w:hAnsiTheme="minorHAnsi" w:cstheme="minorHAnsi"/>
                <w:szCs w:val="24"/>
              </w:rPr>
            </w:pPr>
            <w:r w:rsidRPr="00565383">
              <w:rPr>
                <w:rFonts w:asciiTheme="minorHAnsi" w:hAnsiTheme="minorHAnsi" w:cstheme="minorHAnsi"/>
                <w:szCs w:val="24"/>
              </w:rPr>
              <w:t>Service Area</w:t>
            </w:r>
          </w:p>
        </w:tc>
        <w:tc>
          <w:tcPr>
            <w:tcW w:w="1984" w:type="dxa"/>
          </w:tcPr>
          <w:p w14:paraId="336B0B9D" w14:textId="77777777" w:rsidR="00210CEF" w:rsidRPr="00565383" w:rsidRDefault="00210CEF">
            <w:pPr>
              <w:pStyle w:val="P"/>
              <w:jc w:val="center"/>
              <w:rPr>
                <w:rFonts w:asciiTheme="minorHAnsi" w:hAnsiTheme="minorHAnsi" w:cstheme="minorHAnsi"/>
                <w:szCs w:val="24"/>
              </w:rPr>
            </w:pPr>
            <w:r w:rsidRPr="00565383">
              <w:rPr>
                <w:rFonts w:asciiTheme="minorHAnsi" w:hAnsiTheme="minorHAnsi" w:cstheme="minorHAnsi"/>
                <w:szCs w:val="24"/>
              </w:rPr>
              <w:t>Forecast Variance £</w:t>
            </w:r>
            <w:r>
              <w:rPr>
                <w:rFonts w:asciiTheme="minorHAnsi" w:hAnsiTheme="minorHAnsi" w:cstheme="minorHAnsi"/>
                <w:szCs w:val="24"/>
              </w:rPr>
              <w:t xml:space="preserve"> million</w:t>
            </w:r>
          </w:p>
        </w:tc>
        <w:tc>
          <w:tcPr>
            <w:tcW w:w="4678" w:type="dxa"/>
          </w:tcPr>
          <w:p w14:paraId="2CA945CD" w14:textId="77777777" w:rsidR="00210CEF" w:rsidRPr="00565383" w:rsidRDefault="00210CEF">
            <w:pPr>
              <w:pStyle w:val="P"/>
              <w:jc w:val="center"/>
              <w:rPr>
                <w:rFonts w:asciiTheme="minorHAnsi" w:hAnsiTheme="minorHAnsi" w:cstheme="minorHAnsi"/>
                <w:szCs w:val="24"/>
              </w:rPr>
            </w:pPr>
            <w:r w:rsidRPr="00565383">
              <w:rPr>
                <w:rFonts w:asciiTheme="minorHAnsi" w:hAnsiTheme="minorHAnsi" w:cstheme="minorHAnsi"/>
                <w:szCs w:val="24"/>
              </w:rPr>
              <w:t>Explanation</w:t>
            </w:r>
          </w:p>
        </w:tc>
      </w:tr>
      <w:tr w:rsidR="007873E5" w:rsidRPr="00565383" w14:paraId="1C1AE94A" w14:textId="77777777" w:rsidTr="726148CE">
        <w:tc>
          <w:tcPr>
            <w:tcW w:w="2547" w:type="dxa"/>
          </w:tcPr>
          <w:p w14:paraId="581ACB2E" w14:textId="4051348F" w:rsidR="007873E5" w:rsidRPr="00565383" w:rsidRDefault="007873E5">
            <w:pPr>
              <w:pStyle w:val="P"/>
              <w:jc w:val="center"/>
              <w:rPr>
                <w:rFonts w:asciiTheme="minorHAnsi" w:hAnsiTheme="minorHAnsi" w:cstheme="minorHAnsi"/>
                <w:szCs w:val="24"/>
              </w:rPr>
            </w:pPr>
            <w:r w:rsidRPr="004B37CD">
              <w:rPr>
                <w:rFonts w:cs="Calibri"/>
                <w:color w:val="000000"/>
                <w:szCs w:val="24"/>
              </w:rPr>
              <w:t>Communication</w:t>
            </w:r>
            <w:r w:rsidRPr="00565383">
              <w:rPr>
                <w:rFonts w:cs="Calibri"/>
                <w:color w:val="000000"/>
                <w:szCs w:val="24"/>
              </w:rPr>
              <w:t>s</w:t>
            </w:r>
            <w:r w:rsidRPr="004B37CD">
              <w:rPr>
                <w:rFonts w:cs="Calibri"/>
                <w:color w:val="000000"/>
                <w:szCs w:val="24"/>
              </w:rPr>
              <w:t xml:space="preserve"> &amp; Customer Services</w:t>
            </w:r>
          </w:p>
        </w:tc>
        <w:tc>
          <w:tcPr>
            <w:tcW w:w="1984" w:type="dxa"/>
          </w:tcPr>
          <w:p w14:paraId="16F17F20" w14:textId="256F37B6" w:rsidR="007873E5" w:rsidRPr="00565383" w:rsidRDefault="007873E5" w:rsidP="00382637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(0.090)</w:t>
            </w:r>
          </w:p>
        </w:tc>
        <w:tc>
          <w:tcPr>
            <w:tcW w:w="4678" w:type="dxa"/>
          </w:tcPr>
          <w:p w14:paraId="49A6B92E" w14:textId="3E538702" w:rsidR="007873E5" w:rsidRPr="00565383" w:rsidRDefault="007E3A2F" w:rsidP="007E3A2F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Saving is due to an underspend on staffing due to vacant posts</w:t>
            </w:r>
            <w:r w:rsidR="00382637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210CEF" w:rsidRPr="00565383" w14:paraId="791032AA" w14:textId="77777777" w:rsidTr="00B43165">
        <w:tc>
          <w:tcPr>
            <w:tcW w:w="2547" w:type="dxa"/>
            <w:vAlign w:val="bottom"/>
          </w:tcPr>
          <w:p w14:paraId="1700E977" w14:textId="77777777" w:rsidR="00210CEF" w:rsidRPr="004B37CD" w:rsidRDefault="00210CEF">
            <w:pPr>
              <w:pStyle w:val="P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Community Services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09411E" w14:textId="099138FF" w:rsidR="00210CEF" w:rsidRPr="00B43165" w:rsidRDefault="00210CEF">
            <w:pPr>
              <w:pStyle w:val="P"/>
              <w:rPr>
                <w:rFonts w:cs="Calibri"/>
                <w:color w:val="000000"/>
                <w:szCs w:val="24"/>
              </w:rPr>
            </w:pPr>
            <w:r w:rsidRPr="00B43165">
              <w:rPr>
                <w:rFonts w:cs="Calibri"/>
                <w:color w:val="000000"/>
                <w:szCs w:val="24"/>
              </w:rPr>
              <w:t>(</w:t>
            </w:r>
            <w:r w:rsidR="004A21B0" w:rsidRPr="00B43165">
              <w:rPr>
                <w:rFonts w:cs="Calibri"/>
                <w:color w:val="000000"/>
                <w:szCs w:val="24"/>
              </w:rPr>
              <w:t>0.387)</w:t>
            </w:r>
          </w:p>
        </w:tc>
        <w:tc>
          <w:tcPr>
            <w:tcW w:w="4678" w:type="dxa"/>
            <w:shd w:val="clear" w:color="auto" w:fill="auto"/>
          </w:tcPr>
          <w:p w14:paraId="1313C8EF" w14:textId="70035F03" w:rsidR="00210CEF" w:rsidRPr="00B43165" w:rsidRDefault="006F6F25" w:rsidP="726148CE">
            <w:pPr>
              <w:pStyle w:val="P"/>
              <w:rPr>
                <w:rFonts w:asciiTheme="minorHAnsi" w:hAnsiTheme="minorHAnsi" w:cstheme="minorBidi"/>
              </w:rPr>
            </w:pPr>
            <w:r w:rsidRPr="00B43165">
              <w:rPr>
                <w:rFonts w:asciiTheme="minorHAnsi" w:hAnsiTheme="minorHAnsi" w:cstheme="minorBidi"/>
              </w:rPr>
              <w:t xml:space="preserve">Underspend is due to </w:t>
            </w:r>
            <w:r w:rsidR="00494CE4" w:rsidRPr="00B43165">
              <w:rPr>
                <w:rFonts w:asciiTheme="minorHAnsi" w:hAnsiTheme="minorHAnsi" w:cstheme="minorBidi"/>
              </w:rPr>
              <w:t>additional income from the help on hand service from previous periods</w:t>
            </w:r>
            <w:r w:rsidR="00206CE5" w:rsidRPr="00B43165">
              <w:rPr>
                <w:rFonts w:asciiTheme="minorHAnsi" w:hAnsiTheme="minorHAnsi" w:cstheme="minorBidi"/>
              </w:rPr>
              <w:t>,</w:t>
            </w:r>
            <w:r w:rsidR="00E903BB" w:rsidRPr="00B43165">
              <w:rPr>
                <w:rFonts w:asciiTheme="minorHAnsi" w:hAnsiTheme="minorHAnsi" w:cstheme="minorBidi"/>
              </w:rPr>
              <w:t xml:space="preserve"> saving on salaries</w:t>
            </w:r>
            <w:r w:rsidR="00206CE5" w:rsidRPr="00B43165">
              <w:rPr>
                <w:rFonts w:asciiTheme="minorHAnsi" w:hAnsiTheme="minorHAnsi" w:cstheme="minorBidi"/>
              </w:rPr>
              <w:t xml:space="preserve"> and unbudgeted grant income received. </w:t>
            </w:r>
          </w:p>
        </w:tc>
      </w:tr>
      <w:tr w:rsidR="00210CEF" w:rsidRPr="00565383" w14:paraId="7E4C1117" w14:textId="77777777" w:rsidTr="726148CE">
        <w:tc>
          <w:tcPr>
            <w:tcW w:w="2547" w:type="dxa"/>
            <w:vAlign w:val="bottom"/>
          </w:tcPr>
          <w:p w14:paraId="0D9D881B" w14:textId="77777777" w:rsidR="005151FA" w:rsidRDefault="00210CEF" w:rsidP="002277F2">
            <w:pPr>
              <w:pStyle w:val="P"/>
              <w:rPr>
                <w:rFonts w:cs="Calibri"/>
                <w:color w:val="000000"/>
                <w:szCs w:val="24"/>
              </w:rPr>
            </w:pPr>
            <w:r w:rsidRPr="004B37CD">
              <w:rPr>
                <w:rFonts w:cs="Calibri"/>
                <w:color w:val="000000"/>
                <w:szCs w:val="24"/>
              </w:rPr>
              <w:t>Environmental Services</w:t>
            </w:r>
          </w:p>
          <w:p w14:paraId="64F1F26B" w14:textId="77777777" w:rsidR="002277F2" w:rsidRDefault="002277F2" w:rsidP="002277F2">
            <w:pPr>
              <w:pStyle w:val="P"/>
              <w:rPr>
                <w:rFonts w:cs="Calibri"/>
                <w:color w:val="000000"/>
                <w:szCs w:val="24"/>
              </w:rPr>
            </w:pPr>
          </w:p>
          <w:p w14:paraId="0DEAC24A" w14:textId="6F7B36CB" w:rsidR="002277F2" w:rsidRPr="005151FA" w:rsidRDefault="002277F2" w:rsidP="002277F2">
            <w:pPr>
              <w:pStyle w:val="P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3228C1DF" w14:textId="17FDCB69" w:rsidR="00210CEF" w:rsidRPr="00635C6F" w:rsidRDefault="00210CEF" w:rsidP="002277F2">
            <w:pPr>
              <w:pStyle w:val="P"/>
              <w:rPr>
                <w:rFonts w:cs="Calibri"/>
                <w:color w:val="000000"/>
                <w:szCs w:val="24"/>
              </w:rPr>
            </w:pPr>
            <w:r w:rsidRPr="00635C6F">
              <w:rPr>
                <w:rFonts w:cs="Calibri"/>
                <w:color w:val="000000"/>
                <w:szCs w:val="24"/>
              </w:rPr>
              <w:t>0.</w:t>
            </w:r>
            <w:r w:rsidR="00B21046" w:rsidRPr="00635C6F">
              <w:rPr>
                <w:rFonts w:cs="Calibri"/>
                <w:color w:val="000000"/>
                <w:szCs w:val="24"/>
              </w:rPr>
              <w:t>079</w:t>
            </w:r>
          </w:p>
          <w:p w14:paraId="4DD3596C" w14:textId="77777777" w:rsidR="002277F2" w:rsidRPr="00635C6F" w:rsidRDefault="002277F2" w:rsidP="002277F2">
            <w:pPr>
              <w:pStyle w:val="P"/>
              <w:rPr>
                <w:rFonts w:cs="Calibri"/>
                <w:color w:val="000000"/>
                <w:szCs w:val="24"/>
              </w:rPr>
            </w:pPr>
          </w:p>
          <w:p w14:paraId="76BA8315" w14:textId="60A24F91" w:rsidR="002277F2" w:rsidRPr="00635C6F" w:rsidRDefault="002277F2" w:rsidP="002277F2">
            <w:pPr>
              <w:pStyle w:val="P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78" w:type="dxa"/>
          </w:tcPr>
          <w:p w14:paraId="6C43C0E5" w14:textId="35BE881D" w:rsidR="00210CEF" w:rsidRPr="00635C6F" w:rsidRDefault="00D17D60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 w:rsidRPr="00635C6F">
              <w:rPr>
                <w:rFonts w:asciiTheme="minorHAnsi" w:hAnsiTheme="minorHAnsi" w:cstheme="minorHAnsi"/>
                <w:szCs w:val="24"/>
              </w:rPr>
              <w:t xml:space="preserve">The service experienced </w:t>
            </w:r>
            <w:r w:rsidR="00BB14A8" w:rsidRPr="00635C6F">
              <w:rPr>
                <w:rFonts w:asciiTheme="minorHAnsi" w:hAnsiTheme="minorHAnsi" w:cstheme="minorHAnsi"/>
                <w:szCs w:val="24"/>
              </w:rPr>
              <w:t>additional</w:t>
            </w:r>
            <w:r w:rsidRPr="00635C6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B14A8" w:rsidRPr="00635C6F">
              <w:rPr>
                <w:rFonts w:asciiTheme="minorHAnsi" w:hAnsiTheme="minorHAnsi" w:cstheme="minorHAnsi"/>
                <w:szCs w:val="24"/>
              </w:rPr>
              <w:t>operating costs in fleet management</w:t>
            </w:r>
            <w:r w:rsidR="00735CD3" w:rsidRPr="00635C6F">
              <w:rPr>
                <w:rFonts w:asciiTheme="minorHAnsi" w:hAnsiTheme="minorHAnsi" w:cstheme="minorHAnsi"/>
                <w:szCs w:val="24"/>
              </w:rPr>
              <w:t>, in addition to</w:t>
            </w:r>
            <w:r w:rsidR="00BB012A" w:rsidRPr="00635C6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35CD3" w:rsidRPr="00635C6F">
              <w:rPr>
                <w:rFonts w:asciiTheme="minorHAnsi" w:hAnsiTheme="minorHAnsi" w:cstheme="minorHAnsi"/>
                <w:szCs w:val="24"/>
              </w:rPr>
              <w:t>a</w:t>
            </w:r>
            <w:r w:rsidR="00CF4FA1" w:rsidRPr="00635C6F">
              <w:rPr>
                <w:rFonts w:asciiTheme="minorHAnsi" w:hAnsiTheme="minorHAnsi" w:cstheme="minorHAnsi"/>
                <w:szCs w:val="24"/>
              </w:rPr>
              <w:t xml:space="preserve">dditional staffing costs in refuse and recycling, fleet management, garden waste. </w:t>
            </w:r>
            <w:r w:rsidR="00735CD3" w:rsidRPr="00635C6F">
              <w:rPr>
                <w:rFonts w:asciiTheme="minorHAnsi" w:hAnsiTheme="minorHAnsi" w:cstheme="minorHAnsi"/>
                <w:szCs w:val="24"/>
              </w:rPr>
              <w:t>The o</w:t>
            </w:r>
            <w:r w:rsidR="00E54294" w:rsidRPr="00635C6F">
              <w:rPr>
                <w:rFonts w:asciiTheme="minorHAnsi" w:hAnsiTheme="minorHAnsi" w:cstheme="minorHAnsi"/>
                <w:szCs w:val="24"/>
              </w:rPr>
              <w:t xml:space="preserve">verspend have been partially mitigated by underspends in amenity Horticulture </w:t>
            </w:r>
            <w:r w:rsidR="00537ECA" w:rsidRPr="00635C6F">
              <w:rPr>
                <w:rFonts w:asciiTheme="minorHAnsi" w:hAnsiTheme="minorHAnsi" w:cstheme="minorHAnsi"/>
                <w:szCs w:val="24"/>
              </w:rPr>
              <w:t xml:space="preserve">due </w:t>
            </w:r>
            <w:r w:rsidR="00537ECA" w:rsidRPr="00635C6F">
              <w:rPr>
                <w:rFonts w:asciiTheme="minorHAnsi" w:hAnsiTheme="minorHAnsi" w:cstheme="minorHAnsi"/>
                <w:szCs w:val="24"/>
              </w:rPr>
              <w:lastRenderedPageBreak/>
              <w:t>to unsuccessful recruitment leading to vacant posts.</w:t>
            </w:r>
          </w:p>
        </w:tc>
      </w:tr>
      <w:tr w:rsidR="00210CEF" w:rsidRPr="00565383" w14:paraId="059D81C7" w14:textId="77777777" w:rsidTr="726148CE">
        <w:tc>
          <w:tcPr>
            <w:tcW w:w="2547" w:type="dxa"/>
            <w:vAlign w:val="bottom"/>
          </w:tcPr>
          <w:p w14:paraId="4C252690" w14:textId="77777777" w:rsidR="00210CEF" w:rsidRPr="00635C6F" w:rsidRDefault="00210CEF">
            <w:pPr>
              <w:pStyle w:val="P"/>
              <w:rPr>
                <w:rFonts w:cs="Calibri"/>
                <w:color w:val="000000"/>
                <w:szCs w:val="24"/>
              </w:rPr>
            </w:pPr>
            <w:r w:rsidRPr="00635C6F">
              <w:rPr>
                <w:rFonts w:cs="Calibri"/>
                <w:color w:val="000000"/>
                <w:szCs w:val="24"/>
              </w:rPr>
              <w:lastRenderedPageBreak/>
              <w:t>Housing Services</w:t>
            </w:r>
          </w:p>
          <w:p w14:paraId="260CD438" w14:textId="77777777" w:rsidR="00F06070" w:rsidRPr="00635C6F" w:rsidRDefault="00F06070">
            <w:pPr>
              <w:pStyle w:val="P"/>
              <w:rPr>
                <w:rFonts w:cs="Calibri"/>
                <w:color w:val="000000"/>
                <w:szCs w:val="24"/>
              </w:rPr>
            </w:pPr>
          </w:p>
          <w:p w14:paraId="182C5515" w14:textId="77777777" w:rsidR="00F06070" w:rsidRPr="00635C6F" w:rsidRDefault="00F06070">
            <w:pPr>
              <w:pStyle w:val="P"/>
              <w:rPr>
                <w:rFonts w:cs="Calibri"/>
                <w:color w:val="000000"/>
                <w:szCs w:val="24"/>
              </w:rPr>
            </w:pPr>
          </w:p>
          <w:p w14:paraId="4738A1F5" w14:textId="55361E11" w:rsidR="00F06070" w:rsidRPr="00635C6F" w:rsidRDefault="00F06070">
            <w:pPr>
              <w:pStyle w:val="P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6EFF3CC8" w14:textId="509A6611" w:rsidR="00210CEF" w:rsidRPr="00635C6F" w:rsidRDefault="00635C6F">
            <w:pPr>
              <w:pStyle w:val="P"/>
              <w:rPr>
                <w:rFonts w:cstheme="minorHAnsi"/>
                <w:szCs w:val="24"/>
              </w:rPr>
            </w:pPr>
            <w:r w:rsidRPr="00635C6F">
              <w:rPr>
                <w:rFonts w:cstheme="minorHAnsi"/>
                <w:szCs w:val="24"/>
              </w:rPr>
              <w:t>0.577</w:t>
            </w:r>
          </w:p>
          <w:p w14:paraId="339F856E" w14:textId="77777777" w:rsidR="00F06070" w:rsidRPr="00635C6F" w:rsidRDefault="00F06070">
            <w:pPr>
              <w:pStyle w:val="P"/>
              <w:rPr>
                <w:rFonts w:cstheme="minorHAnsi"/>
                <w:szCs w:val="24"/>
              </w:rPr>
            </w:pPr>
          </w:p>
          <w:p w14:paraId="55AB919F" w14:textId="77777777" w:rsidR="00F06070" w:rsidRPr="00635C6F" w:rsidRDefault="00F06070">
            <w:pPr>
              <w:pStyle w:val="P"/>
              <w:rPr>
                <w:rFonts w:cstheme="minorHAnsi"/>
                <w:szCs w:val="24"/>
              </w:rPr>
            </w:pPr>
          </w:p>
          <w:p w14:paraId="62A9FE8E" w14:textId="09CE980B" w:rsidR="00F06070" w:rsidRPr="00635C6F" w:rsidRDefault="00F06070">
            <w:pPr>
              <w:pStyle w:val="P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78" w:type="dxa"/>
          </w:tcPr>
          <w:p w14:paraId="2E978386" w14:textId="01FDA04B" w:rsidR="00210CEF" w:rsidRPr="0040223A" w:rsidRDefault="00A434AC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 w:rsidRPr="0040223A">
              <w:rPr>
                <w:rFonts w:asciiTheme="minorHAnsi" w:hAnsiTheme="minorHAnsi" w:cstheme="minorHAnsi"/>
                <w:szCs w:val="24"/>
              </w:rPr>
              <w:t>The housing service has significant increased costs due to the rising costs of materials</w:t>
            </w:r>
            <w:r w:rsidR="004A0103" w:rsidRPr="0040223A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40223A">
              <w:rPr>
                <w:rFonts w:asciiTheme="minorHAnsi" w:hAnsiTheme="minorHAnsi" w:cstheme="minorHAnsi"/>
                <w:szCs w:val="24"/>
              </w:rPr>
              <w:t>labour</w:t>
            </w:r>
            <w:r w:rsidR="004A0103" w:rsidRPr="0040223A">
              <w:rPr>
                <w:rFonts w:asciiTheme="minorHAnsi" w:hAnsiTheme="minorHAnsi" w:cstheme="minorHAnsi"/>
                <w:szCs w:val="24"/>
              </w:rPr>
              <w:t xml:space="preserve"> and staffing costs in Building Management. </w:t>
            </w:r>
            <w:r w:rsidR="00B258E0" w:rsidRPr="0040223A">
              <w:rPr>
                <w:rFonts w:asciiTheme="minorHAnsi" w:hAnsiTheme="minorHAnsi" w:cstheme="minorHAnsi"/>
                <w:szCs w:val="24"/>
              </w:rPr>
              <w:t>Woking Road Depot stores are forecasting an overspend due to use of casuals and reduced income</w:t>
            </w:r>
            <w:r w:rsidR="00555FAD" w:rsidRPr="0040223A">
              <w:rPr>
                <w:rFonts w:asciiTheme="minorHAnsi" w:hAnsiTheme="minorHAnsi" w:cstheme="minorHAnsi"/>
                <w:szCs w:val="24"/>
              </w:rPr>
              <w:t xml:space="preserve">. This is offset by an underspend on staff in housing surveying in addition to increased recharges to </w:t>
            </w:r>
            <w:r w:rsidR="00F06070" w:rsidRPr="0040223A">
              <w:rPr>
                <w:rFonts w:asciiTheme="minorHAnsi" w:hAnsiTheme="minorHAnsi" w:cstheme="minorHAnsi"/>
                <w:szCs w:val="24"/>
              </w:rPr>
              <w:t xml:space="preserve">capital and projects. </w:t>
            </w:r>
            <w:r w:rsidR="004A0C45" w:rsidRPr="0040223A">
              <w:rPr>
                <w:rFonts w:asciiTheme="minorHAnsi" w:hAnsiTheme="minorHAnsi" w:cstheme="minorHAnsi"/>
                <w:szCs w:val="24"/>
              </w:rPr>
              <w:t xml:space="preserve">Within homelessness we are monitoring </w:t>
            </w:r>
            <w:r w:rsidR="001A70F4" w:rsidRPr="0040223A">
              <w:rPr>
                <w:rFonts w:asciiTheme="minorHAnsi" w:hAnsiTheme="minorHAnsi" w:cstheme="minorHAnsi"/>
                <w:szCs w:val="24"/>
              </w:rPr>
              <w:t xml:space="preserve">potential homelessness due to the closing of some venues. </w:t>
            </w:r>
          </w:p>
        </w:tc>
      </w:tr>
    </w:tbl>
    <w:p w14:paraId="34F96EEF" w14:textId="77777777" w:rsidR="00210CEF" w:rsidRPr="00565383" w:rsidRDefault="00210CEF" w:rsidP="00210CEF">
      <w:pPr>
        <w:pStyle w:val="P"/>
        <w:rPr>
          <w:rFonts w:asciiTheme="minorHAnsi" w:hAnsiTheme="minorHAnsi" w:cstheme="minorHAnsi"/>
          <w:szCs w:val="24"/>
        </w:rPr>
      </w:pPr>
    </w:p>
    <w:p w14:paraId="378FE4C4" w14:textId="77777777" w:rsidR="00210CEF" w:rsidRPr="007C7116" w:rsidRDefault="00210CEF" w:rsidP="0004412D">
      <w:pPr>
        <w:pStyle w:val="P"/>
        <w:rPr>
          <w:rFonts w:asciiTheme="minorHAnsi" w:hAnsiTheme="minorHAnsi" w:cstheme="minorHAnsi"/>
          <w:b/>
          <w:szCs w:val="24"/>
        </w:rPr>
      </w:pPr>
      <w:r w:rsidRPr="007C7116">
        <w:rPr>
          <w:rFonts w:asciiTheme="minorHAnsi" w:hAnsiTheme="minorHAnsi" w:cstheme="minorHAnsi"/>
          <w:b/>
          <w:szCs w:val="24"/>
        </w:rPr>
        <w:t>Place Directorate</w:t>
      </w:r>
    </w:p>
    <w:p w14:paraId="26481510" w14:textId="5EAABA5C" w:rsidR="00210CEF" w:rsidRPr="00565383" w:rsidRDefault="00210CEF" w:rsidP="00210CEF">
      <w:pPr>
        <w:pStyle w:val="P"/>
        <w:rPr>
          <w:rFonts w:asciiTheme="minorHAnsi" w:hAnsiTheme="minorHAnsi" w:cstheme="minorHAnsi"/>
          <w:szCs w:val="24"/>
        </w:rPr>
      </w:pPr>
      <w:r w:rsidRPr="00565383">
        <w:rPr>
          <w:rFonts w:asciiTheme="minorHAnsi" w:hAnsiTheme="minorHAnsi" w:cstheme="minorHAnsi"/>
          <w:szCs w:val="24"/>
        </w:rPr>
        <w:t xml:space="preserve">The Place Directorate is currently forecast to be </w:t>
      </w:r>
      <w:r w:rsidR="00295C35">
        <w:rPr>
          <w:rFonts w:asciiTheme="minorHAnsi" w:hAnsiTheme="minorHAnsi" w:cstheme="minorHAnsi"/>
          <w:szCs w:val="24"/>
        </w:rPr>
        <w:t>overspent by £0.</w:t>
      </w:r>
      <w:r w:rsidR="0021402D">
        <w:rPr>
          <w:rFonts w:asciiTheme="minorHAnsi" w:hAnsiTheme="minorHAnsi" w:cstheme="minorHAnsi"/>
          <w:szCs w:val="24"/>
        </w:rPr>
        <w:t>693</w:t>
      </w:r>
      <w:r w:rsidR="00295C35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295C35">
        <w:rPr>
          <w:rFonts w:asciiTheme="minorHAnsi" w:hAnsiTheme="minorHAnsi" w:cstheme="minorHAnsi"/>
          <w:szCs w:val="24"/>
        </w:rPr>
        <w:t>million</w:t>
      </w:r>
      <w:proofErr w:type="gramEnd"/>
      <w:r w:rsidRPr="00565383">
        <w:rPr>
          <w:rFonts w:asciiTheme="minorHAnsi" w:hAnsiTheme="minorHAnsi" w:cstheme="minorHAnsi"/>
          <w:szCs w:val="24"/>
        </w:rPr>
        <w:t xml:space="preserve">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673"/>
        <w:gridCol w:w="1276"/>
        <w:gridCol w:w="1418"/>
        <w:gridCol w:w="1417"/>
      </w:tblGrid>
      <w:tr w:rsidR="00210CEF" w:rsidRPr="00C05A61" w14:paraId="6FD88ED8" w14:textId="77777777">
        <w:tc>
          <w:tcPr>
            <w:tcW w:w="4673" w:type="dxa"/>
          </w:tcPr>
          <w:p w14:paraId="365CC2D5" w14:textId="77777777" w:rsidR="00210CEF" w:rsidRPr="00C05A61" w:rsidRDefault="00210CEF">
            <w:pPr>
              <w:pStyle w:val="P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FAB2BD0" w14:textId="77777777" w:rsidR="00210CEF" w:rsidRPr="00C05A61" w:rsidRDefault="00210CEF">
            <w:pPr>
              <w:pStyle w:val="P"/>
              <w:jc w:val="center"/>
              <w:rPr>
                <w:rFonts w:asciiTheme="minorHAnsi" w:hAnsiTheme="minorHAnsi" w:cstheme="minorHAnsi"/>
                <w:szCs w:val="24"/>
              </w:rPr>
            </w:pPr>
            <w:r w:rsidRPr="00C05A61">
              <w:rPr>
                <w:rFonts w:asciiTheme="minorHAnsi" w:hAnsiTheme="minorHAnsi" w:cstheme="minorHAnsi"/>
                <w:szCs w:val="24"/>
              </w:rPr>
              <w:t>Place</w:t>
            </w:r>
          </w:p>
        </w:tc>
        <w:tc>
          <w:tcPr>
            <w:tcW w:w="1276" w:type="dxa"/>
          </w:tcPr>
          <w:p w14:paraId="04BC9A84" w14:textId="77777777" w:rsidR="00210CEF" w:rsidRPr="00C05A61" w:rsidRDefault="00210CEF">
            <w:pPr>
              <w:pStyle w:val="P"/>
              <w:jc w:val="center"/>
              <w:rPr>
                <w:rFonts w:asciiTheme="minorHAnsi" w:hAnsiTheme="minorHAnsi" w:cstheme="minorHAnsi"/>
                <w:szCs w:val="24"/>
              </w:rPr>
            </w:pPr>
            <w:r w:rsidRPr="00C05A61">
              <w:rPr>
                <w:rFonts w:asciiTheme="minorHAnsi" w:hAnsiTheme="minorHAnsi" w:cstheme="minorHAnsi"/>
                <w:sz w:val="28"/>
                <w:szCs w:val="28"/>
              </w:rPr>
              <w:t>2023/24 Revised Budget         £ million</w:t>
            </w:r>
          </w:p>
        </w:tc>
        <w:tc>
          <w:tcPr>
            <w:tcW w:w="1418" w:type="dxa"/>
          </w:tcPr>
          <w:p w14:paraId="52806629" w14:textId="77777777" w:rsidR="00210CEF" w:rsidRPr="00C05A61" w:rsidRDefault="00210CEF">
            <w:pPr>
              <w:pStyle w:val="P"/>
              <w:jc w:val="center"/>
              <w:rPr>
                <w:rFonts w:asciiTheme="minorHAnsi" w:hAnsiTheme="minorHAnsi" w:cstheme="minorHAnsi"/>
                <w:szCs w:val="24"/>
              </w:rPr>
            </w:pPr>
            <w:r w:rsidRPr="00C05A61">
              <w:rPr>
                <w:rFonts w:asciiTheme="minorHAnsi" w:hAnsiTheme="minorHAnsi" w:cstheme="minorHAnsi"/>
                <w:sz w:val="28"/>
                <w:szCs w:val="28"/>
              </w:rPr>
              <w:t>2023/24 Year-end Forecast        £ million</w:t>
            </w:r>
          </w:p>
        </w:tc>
        <w:tc>
          <w:tcPr>
            <w:tcW w:w="1417" w:type="dxa"/>
          </w:tcPr>
          <w:p w14:paraId="22DC132E" w14:textId="77777777" w:rsidR="00210CEF" w:rsidRPr="00C05A61" w:rsidRDefault="00210CEF">
            <w:pPr>
              <w:pStyle w:val="P"/>
              <w:jc w:val="center"/>
              <w:rPr>
                <w:rFonts w:asciiTheme="minorHAnsi" w:hAnsiTheme="minorHAnsi" w:cstheme="minorHAnsi"/>
                <w:szCs w:val="24"/>
              </w:rPr>
            </w:pPr>
            <w:r w:rsidRPr="00C05A61">
              <w:rPr>
                <w:rFonts w:asciiTheme="minorHAnsi" w:hAnsiTheme="minorHAnsi" w:cstheme="minorHAnsi"/>
                <w:sz w:val="28"/>
                <w:szCs w:val="28"/>
              </w:rPr>
              <w:t>2023/24 Variance        £ million</w:t>
            </w:r>
          </w:p>
        </w:tc>
      </w:tr>
      <w:tr w:rsidR="00210CEF" w:rsidRPr="00C05A61" w14:paraId="2799E42B" w14:textId="77777777">
        <w:tc>
          <w:tcPr>
            <w:tcW w:w="4673" w:type="dxa"/>
            <w:vAlign w:val="bottom"/>
          </w:tcPr>
          <w:p w14:paraId="61ECEB14" w14:textId="77777777" w:rsidR="00210CEF" w:rsidRPr="00C05A61" w:rsidRDefault="00210CEF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 w:rsidRPr="00C05A61">
              <w:rPr>
                <w:rFonts w:cs="Calibri"/>
                <w:color w:val="000000"/>
                <w:szCs w:val="24"/>
              </w:rPr>
              <w:t>Assets and Property</w:t>
            </w:r>
          </w:p>
        </w:tc>
        <w:tc>
          <w:tcPr>
            <w:tcW w:w="1276" w:type="dxa"/>
            <w:vAlign w:val="bottom"/>
          </w:tcPr>
          <w:p w14:paraId="59034CC9" w14:textId="71E2FD01" w:rsidR="00210CEF" w:rsidRPr="00C05A61" w:rsidRDefault="00CC3643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 w:rsidRPr="00C05A61">
              <w:rPr>
                <w:rFonts w:asciiTheme="minorHAnsi" w:hAnsiTheme="minorHAnsi" w:cstheme="minorHAnsi"/>
                <w:szCs w:val="24"/>
              </w:rPr>
              <w:t>(7.335)</w:t>
            </w:r>
          </w:p>
        </w:tc>
        <w:tc>
          <w:tcPr>
            <w:tcW w:w="1418" w:type="dxa"/>
            <w:vAlign w:val="bottom"/>
          </w:tcPr>
          <w:p w14:paraId="6EA591C9" w14:textId="6A5C046A" w:rsidR="00210CEF" w:rsidRPr="00C05A61" w:rsidRDefault="00B74D91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 w:rsidRPr="00C05A61">
              <w:rPr>
                <w:rFonts w:asciiTheme="minorHAnsi" w:hAnsiTheme="minorHAnsi" w:cstheme="minorHAnsi"/>
                <w:szCs w:val="24"/>
              </w:rPr>
              <w:t>(6.867)</w:t>
            </w:r>
          </w:p>
        </w:tc>
        <w:tc>
          <w:tcPr>
            <w:tcW w:w="1417" w:type="dxa"/>
            <w:vAlign w:val="bottom"/>
          </w:tcPr>
          <w:p w14:paraId="60D6B2E5" w14:textId="0EF3CCB0" w:rsidR="00210CEF" w:rsidRPr="00C05A61" w:rsidRDefault="00B74D91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 w:rsidRPr="00C05A61">
              <w:rPr>
                <w:rFonts w:asciiTheme="minorHAnsi" w:hAnsiTheme="minorHAnsi" w:cstheme="minorHAnsi"/>
                <w:szCs w:val="24"/>
              </w:rPr>
              <w:t>0.468</w:t>
            </w:r>
          </w:p>
        </w:tc>
      </w:tr>
      <w:tr w:rsidR="00210CEF" w:rsidRPr="00C05A61" w14:paraId="7358D882" w14:textId="77777777">
        <w:tc>
          <w:tcPr>
            <w:tcW w:w="4673" w:type="dxa"/>
            <w:vAlign w:val="bottom"/>
          </w:tcPr>
          <w:p w14:paraId="55D30B74" w14:textId="77777777" w:rsidR="00210CEF" w:rsidRPr="00C05A61" w:rsidRDefault="00210CEF">
            <w:pPr>
              <w:pStyle w:val="P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05A61">
              <w:rPr>
                <w:rFonts w:cs="Calibri"/>
                <w:color w:val="000000"/>
                <w:szCs w:val="24"/>
              </w:rPr>
              <w:t>Planning &amp; Development</w:t>
            </w:r>
          </w:p>
        </w:tc>
        <w:tc>
          <w:tcPr>
            <w:tcW w:w="1276" w:type="dxa"/>
            <w:vAlign w:val="bottom"/>
          </w:tcPr>
          <w:p w14:paraId="1C6B4612" w14:textId="7512ECAF" w:rsidR="00210CEF" w:rsidRPr="00C05A61" w:rsidRDefault="00CC3643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 w:rsidRPr="00C05A61">
              <w:rPr>
                <w:rFonts w:asciiTheme="minorHAnsi" w:hAnsiTheme="minorHAnsi" w:cstheme="minorHAnsi"/>
                <w:szCs w:val="24"/>
              </w:rPr>
              <w:t>1.35</w:t>
            </w:r>
            <w:r w:rsidR="00611DEB" w:rsidRPr="00C05A61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418" w:type="dxa"/>
            <w:vAlign w:val="bottom"/>
          </w:tcPr>
          <w:p w14:paraId="5A6BEDB7" w14:textId="23EEB238" w:rsidR="00210CEF" w:rsidRPr="00C05A61" w:rsidRDefault="00B74D91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 w:rsidRPr="00C05A61">
              <w:rPr>
                <w:rFonts w:asciiTheme="minorHAnsi" w:hAnsiTheme="minorHAnsi" w:cstheme="minorHAnsi"/>
                <w:szCs w:val="24"/>
              </w:rPr>
              <w:t>2.151</w:t>
            </w:r>
          </w:p>
        </w:tc>
        <w:tc>
          <w:tcPr>
            <w:tcW w:w="1417" w:type="dxa"/>
            <w:vAlign w:val="bottom"/>
          </w:tcPr>
          <w:p w14:paraId="798B62C3" w14:textId="33029434" w:rsidR="00210CEF" w:rsidRPr="00C05A61" w:rsidRDefault="00B74D91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 w:rsidRPr="00C05A61">
              <w:rPr>
                <w:rFonts w:asciiTheme="minorHAnsi" w:hAnsiTheme="minorHAnsi" w:cstheme="minorHAnsi"/>
                <w:szCs w:val="24"/>
              </w:rPr>
              <w:t>0.801</w:t>
            </w:r>
          </w:p>
        </w:tc>
      </w:tr>
      <w:tr w:rsidR="00210CEF" w:rsidRPr="00C05A61" w14:paraId="4682CE90" w14:textId="77777777">
        <w:tc>
          <w:tcPr>
            <w:tcW w:w="4673" w:type="dxa"/>
            <w:vAlign w:val="bottom"/>
          </w:tcPr>
          <w:p w14:paraId="3276F53A" w14:textId="77777777" w:rsidR="00210CEF" w:rsidRPr="00C05A61" w:rsidRDefault="00210CEF">
            <w:pPr>
              <w:pStyle w:val="P"/>
              <w:rPr>
                <w:rFonts w:cs="Calibri"/>
                <w:color w:val="000000"/>
                <w:szCs w:val="24"/>
              </w:rPr>
            </w:pPr>
            <w:r w:rsidRPr="00C05A61">
              <w:rPr>
                <w:rFonts w:cs="Calibri"/>
                <w:color w:val="000000"/>
                <w:szCs w:val="24"/>
              </w:rPr>
              <w:t>Regeneration &amp; Planning Policy</w:t>
            </w:r>
          </w:p>
        </w:tc>
        <w:tc>
          <w:tcPr>
            <w:tcW w:w="1276" w:type="dxa"/>
            <w:vAlign w:val="bottom"/>
          </w:tcPr>
          <w:p w14:paraId="18AA919B" w14:textId="70248D39" w:rsidR="00210CEF" w:rsidRPr="00C05A61" w:rsidRDefault="00611DEB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 w:rsidRPr="00C05A61">
              <w:rPr>
                <w:rFonts w:asciiTheme="minorHAnsi" w:hAnsiTheme="minorHAnsi" w:cstheme="minorHAnsi"/>
                <w:szCs w:val="24"/>
              </w:rPr>
              <w:t>1.894</w:t>
            </w:r>
          </w:p>
        </w:tc>
        <w:tc>
          <w:tcPr>
            <w:tcW w:w="1418" w:type="dxa"/>
            <w:vAlign w:val="bottom"/>
          </w:tcPr>
          <w:p w14:paraId="62A0B17C" w14:textId="3785D6C8" w:rsidR="00210CEF" w:rsidRPr="00C05A61" w:rsidRDefault="00B74D91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 w:rsidRPr="00C05A61">
              <w:rPr>
                <w:rFonts w:asciiTheme="minorHAnsi" w:hAnsiTheme="minorHAnsi" w:cstheme="minorHAnsi"/>
                <w:szCs w:val="24"/>
              </w:rPr>
              <w:t>1.585</w:t>
            </w:r>
          </w:p>
        </w:tc>
        <w:tc>
          <w:tcPr>
            <w:tcW w:w="1417" w:type="dxa"/>
            <w:vAlign w:val="bottom"/>
          </w:tcPr>
          <w:p w14:paraId="49C5DB81" w14:textId="024CB4F8" w:rsidR="00210CEF" w:rsidRPr="00C05A61" w:rsidRDefault="00B74D91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 w:rsidRPr="00C05A61">
              <w:rPr>
                <w:rFonts w:asciiTheme="minorHAnsi" w:hAnsiTheme="minorHAnsi" w:cstheme="minorHAnsi"/>
                <w:szCs w:val="24"/>
              </w:rPr>
              <w:t>(0.308)</w:t>
            </w:r>
          </w:p>
        </w:tc>
      </w:tr>
      <w:tr w:rsidR="00210CEF" w:rsidRPr="00C05A61" w14:paraId="6DEE9298" w14:textId="77777777">
        <w:tc>
          <w:tcPr>
            <w:tcW w:w="4673" w:type="dxa"/>
            <w:vAlign w:val="bottom"/>
          </w:tcPr>
          <w:p w14:paraId="233B36F7" w14:textId="77777777" w:rsidR="00210CEF" w:rsidRPr="00C05A61" w:rsidRDefault="00210CEF">
            <w:pPr>
              <w:pStyle w:val="P"/>
              <w:rPr>
                <w:rFonts w:cs="Calibri"/>
                <w:color w:val="000000"/>
                <w:szCs w:val="24"/>
              </w:rPr>
            </w:pPr>
            <w:r w:rsidRPr="00C05A61">
              <w:rPr>
                <w:rFonts w:cs="Calibri"/>
                <w:color w:val="000000"/>
                <w:szCs w:val="24"/>
              </w:rPr>
              <w:t>Regulatory Services</w:t>
            </w:r>
          </w:p>
        </w:tc>
        <w:tc>
          <w:tcPr>
            <w:tcW w:w="1276" w:type="dxa"/>
            <w:vAlign w:val="bottom"/>
          </w:tcPr>
          <w:p w14:paraId="31B8749A" w14:textId="787661E3" w:rsidR="00210CEF" w:rsidRPr="00C05A61" w:rsidRDefault="00611DEB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 w:rsidRPr="00C05A61">
              <w:rPr>
                <w:rFonts w:asciiTheme="minorHAnsi" w:hAnsiTheme="minorHAnsi" w:cstheme="minorHAnsi"/>
                <w:szCs w:val="24"/>
              </w:rPr>
              <w:t>1.6</w:t>
            </w:r>
            <w:r w:rsidR="00AE0FB7" w:rsidRPr="00C05A61">
              <w:rPr>
                <w:rFonts w:asciiTheme="minorHAnsi" w:hAnsiTheme="minorHAnsi" w:cstheme="minorHAnsi"/>
                <w:szCs w:val="24"/>
              </w:rPr>
              <w:t>18</w:t>
            </w:r>
          </w:p>
        </w:tc>
        <w:tc>
          <w:tcPr>
            <w:tcW w:w="1418" w:type="dxa"/>
            <w:vAlign w:val="bottom"/>
          </w:tcPr>
          <w:p w14:paraId="0C5E0DBE" w14:textId="07AABF74" w:rsidR="00210CEF" w:rsidRPr="00C05A61" w:rsidRDefault="00C05A61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 w:rsidRPr="00C05A61">
              <w:rPr>
                <w:rFonts w:asciiTheme="minorHAnsi" w:hAnsiTheme="minorHAnsi" w:cstheme="minorHAnsi"/>
                <w:szCs w:val="24"/>
              </w:rPr>
              <w:t>1.351</w:t>
            </w:r>
          </w:p>
        </w:tc>
        <w:tc>
          <w:tcPr>
            <w:tcW w:w="1417" w:type="dxa"/>
            <w:vAlign w:val="bottom"/>
          </w:tcPr>
          <w:p w14:paraId="0F41E4AE" w14:textId="0B1F4CED" w:rsidR="00210CEF" w:rsidRPr="00C05A61" w:rsidRDefault="00C05A61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 w:rsidRPr="00C05A61">
              <w:rPr>
                <w:rFonts w:asciiTheme="minorHAnsi" w:hAnsiTheme="minorHAnsi" w:cstheme="minorHAnsi"/>
                <w:szCs w:val="24"/>
              </w:rPr>
              <w:t>(0.267)</w:t>
            </w:r>
          </w:p>
        </w:tc>
      </w:tr>
      <w:tr w:rsidR="00210CEF" w:rsidRPr="00C05A61" w14:paraId="1A353A58" w14:textId="77777777">
        <w:tc>
          <w:tcPr>
            <w:tcW w:w="4673" w:type="dxa"/>
            <w:vAlign w:val="bottom"/>
          </w:tcPr>
          <w:p w14:paraId="747AB193" w14:textId="77777777" w:rsidR="00210CEF" w:rsidRPr="00C05A61" w:rsidRDefault="00210CEF">
            <w:pPr>
              <w:pStyle w:val="P"/>
              <w:rPr>
                <w:rFonts w:cs="Calibri"/>
                <w:color w:val="000000"/>
                <w:szCs w:val="24"/>
              </w:rPr>
            </w:pPr>
            <w:r w:rsidRPr="00C05A61">
              <w:rPr>
                <w:rFonts w:cs="Calibri"/>
                <w:color w:val="000000"/>
                <w:szCs w:val="24"/>
              </w:rPr>
              <w:t>Total Place</w:t>
            </w:r>
          </w:p>
        </w:tc>
        <w:tc>
          <w:tcPr>
            <w:tcW w:w="1276" w:type="dxa"/>
          </w:tcPr>
          <w:p w14:paraId="21FB4506" w14:textId="22AD7BB3" w:rsidR="00210CEF" w:rsidRPr="00C05A61" w:rsidRDefault="00AE0FB7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 w:rsidRPr="00C05A61">
              <w:rPr>
                <w:rFonts w:asciiTheme="minorHAnsi" w:hAnsiTheme="minorHAnsi" w:cstheme="minorHAnsi"/>
                <w:szCs w:val="24"/>
              </w:rPr>
              <w:t>(2.473)</w:t>
            </w:r>
          </w:p>
        </w:tc>
        <w:tc>
          <w:tcPr>
            <w:tcW w:w="1418" w:type="dxa"/>
          </w:tcPr>
          <w:p w14:paraId="3F93AAF5" w14:textId="444CB36C" w:rsidR="00210CEF" w:rsidRPr="00C05A61" w:rsidRDefault="00C05A61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 w:rsidRPr="00C05A61">
              <w:rPr>
                <w:rFonts w:asciiTheme="minorHAnsi" w:hAnsiTheme="minorHAnsi" w:cstheme="minorHAnsi"/>
                <w:szCs w:val="24"/>
              </w:rPr>
              <w:t>(1.780)</w:t>
            </w:r>
          </w:p>
        </w:tc>
        <w:tc>
          <w:tcPr>
            <w:tcW w:w="1417" w:type="dxa"/>
          </w:tcPr>
          <w:p w14:paraId="1F124030" w14:textId="3E6BA645" w:rsidR="00CB2EA2" w:rsidRPr="00C05A61" w:rsidRDefault="00C05A61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 w:rsidRPr="00C05A61">
              <w:rPr>
                <w:rFonts w:asciiTheme="minorHAnsi" w:hAnsiTheme="minorHAnsi" w:cstheme="minorHAnsi"/>
                <w:szCs w:val="24"/>
              </w:rPr>
              <w:t>0.693</w:t>
            </w:r>
          </w:p>
        </w:tc>
      </w:tr>
    </w:tbl>
    <w:p w14:paraId="070C11B2" w14:textId="2066CEF4" w:rsidR="00210CEF" w:rsidRPr="0071677B" w:rsidRDefault="00210CEF" w:rsidP="00210CEF">
      <w:pPr>
        <w:pStyle w:val="P"/>
        <w:rPr>
          <w:rFonts w:asciiTheme="minorHAnsi" w:hAnsiTheme="minorHAnsi" w:cstheme="minorHAnsi"/>
          <w:szCs w:val="24"/>
          <w:highlight w:val="yellow"/>
        </w:rPr>
      </w:pPr>
    </w:p>
    <w:p w14:paraId="58383BE7" w14:textId="55C5B75A" w:rsidR="00210CEF" w:rsidRPr="00285D9A" w:rsidRDefault="00210CEF" w:rsidP="00210CEF">
      <w:pPr>
        <w:pStyle w:val="P"/>
        <w:rPr>
          <w:rFonts w:asciiTheme="minorHAnsi" w:hAnsiTheme="minorHAnsi" w:cstheme="minorHAnsi"/>
          <w:szCs w:val="24"/>
        </w:rPr>
      </w:pPr>
      <w:r w:rsidRPr="00285D9A">
        <w:rPr>
          <w:rFonts w:asciiTheme="minorHAnsi" w:hAnsiTheme="minorHAnsi" w:cstheme="minorHAnsi"/>
          <w:szCs w:val="24"/>
        </w:rPr>
        <w:t xml:space="preserve">The key variances are detailed </w:t>
      </w:r>
      <w:r w:rsidR="0004412D" w:rsidRPr="00285D9A">
        <w:rPr>
          <w:rFonts w:asciiTheme="minorHAnsi" w:hAnsiTheme="minorHAnsi" w:cstheme="minorHAnsi"/>
          <w:szCs w:val="24"/>
        </w:rPr>
        <w:t>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4105"/>
      </w:tblGrid>
      <w:tr w:rsidR="00210CEF" w:rsidRPr="00285D9A" w14:paraId="6C5222EC" w14:textId="77777777">
        <w:tc>
          <w:tcPr>
            <w:tcW w:w="2689" w:type="dxa"/>
          </w:tcPr>
          <w:p w14:paraId="750F9754" w14:textId="77777777" w:rsidR="00210CEF" w:rsidRPr="00285D9A" w:rsidRDefault="00210CEF">
            <w:pPr>
              <w:pStyle w:val="P"/>
              <w:jc w:val="center"/>
              <w:rPr>
                <w:rFonts w:asciiTheme="minorHAnsi" w:hAnsiTheme="minorHAnsi" w:cstheme="minorHAnsi"/>
                <w:szCs w:val="24"/>
              </w:rPr>
            </w:pPr>
            <w:r w:rsidRPr="00285D9A">
              <w:rPr>
                <w:rFonts w:asciiTheme="minorHAnsi" w:hAnsiTheme="minorHAnsi" w:cstheme="minorHAnsi"/>
                <w:szCs w:val="24"/>
              </w:rPr>
              <w:t>Service Area</w:t>
            </w:r>
          </w:p>
        </w:tc>
        <w:tc>
          <w:tcPr>
            <w:tcW w:w="1842" w:type="dxa"/>
          </w:tcPr>
          <w:p w14:paraId="722D5E29" w14:textId="77777777" w:rsidR="00210CEF" w:rsidRPr="00285D9A" w:rsidRDefault="00210CEF">
            <w:pPr>
              <w:pStyle w:val="P"/>
              <w:jc w:val="center"/>
              <w:rPr>
                <w:rFonts w:asciiTheme="minorHAnsi" w:hAnsiTheme="minorHAnsi" w:cstheme="minorHAnsi"/>
                <w:szCs w:val="24"/>
              </w:rPr>
            </w:pPr>
            <w:r w:rsidRPr="00285D9A">
              <w:rPr>
                <w:rFonts w:asciiTheme="minorHAnsi" w:hAnsiTheme="minorHAnsi" w:cstheme="minorHAnsi"/>
                <w:szCs w:val="24"/>
              </w:rPr>
              <w:t>Forecast Variance             £ million</w:t>
            </w:r>
          </w:p>
        </w:tc>
        <w:tc>
          <w:tcPr>
            <w:tcW w:w="4105" w:type="dxa"/>
          </w:tcPr>
          <w:p w14:paraId="5182336B" w14:textId="77777777" w:rsidR="00210CEF" w:rsidRPr="00285D9A" w:rsidRDefault="00210CEF">
            <w:pPr>
              <w:pStyle w:val="P"/>
              <w:jc w:val="center"/>
              <w:rPr>
                <w:rFonts w:asciiTheme="minorHAnsi" w:hAnsiTheme="minorHAnsi" w:cstheme="minorHAnsi"/>
                <w:szCs w:val="24"/>
              </w:rPr>
            </w:pPr>
            <w:r w:rsidRPr="00285D9A">
              <w:rPr>
                <w:rFonts w:asciiTheme="minorHAnsi" w:hAnsiTheme="minorHAnsi" w:cstheme="minorHAnsi"/>
                <w:szCs w:val="24"/>
              </w:rPr>
              <w:t>Explanation</w:t>
            </w:r>
          </w:p>
          <w:p w14:paraId="0AFB78B3" w14:textId="77777777" w:rsidR="00210CEF" w:rsidRPr="00285D9A" w:rsidRDefault="00210CEF">
            <w:pPr>
              <w:pStyle w:val="P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10CEF" w:rsidRPr="00285D9A" w14:paraId="29C381C9" w14:textId="77777777">
        <w:tc>
          <w:tcPr>
            <w:tcW w:w="2689" w:type="dxa"/>
            <w:vAlign w:val="bottom"/>
          </w:tcPr>
          <w:p w14:paraId="0E88F7F5" w14:textId="0B645A3A" w:rsidR="00210CEF" w:rsidRPr="00285D9A" w:rsidRDefault="00210CEF" w:rsidP="00285D9A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 w:rsidRPr="00285D9A">
              <w:rPr>
                <w:rFonts w:cs="Calibri"/>
                <w:color w:val="000000"/>
                <w:szCs w:val="24"/>
              </w:rPr>
              <w:t>Assets and Property</w:t>
            </w:r>
          </w:p>
        </w:tc>
        <w:tc>
          <w:tcPr>
            <w:tcW w:w="1842" w:type="dxa"/>
            <w:vAlign w:val="bottom"/>
          </w:tcPr>
          <w:p w14:paraId="020EF354" w14:textId="6DF7EEAF" w:rsidR="00210CEF" w:rsidRPr="00285D9A" w:rsidRDefault="00172B6E" w:rsidP="00285D9A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 w:rsidRPr="00285D9A">
              <w:rPr>
                <w:rFonts w:cs="Calibri"/>
                <w:color w:val="000000"/>
                <w:szCs w:val="24"/>
              </w:rPr>
              <w:t>0</w:t>
            </w:r>
            <w:r w:rsidR="00A3239B" w:rsidRPr="00285D9A">
              <w:rPr>
                <w:rFonts w:cs="Calibri"/>
                <w:color w:val="000000"/>
                <w:szCs w:val="24"/>
              </w:rPr>
              <w:t>.</w:t>
            </w:r>
            <w:r w:rsidR="00727BA4" w:rsidRPr="00285D9A">
              <w:rPr>
                <w:rFonts w:cs="Calibri"/>
                <w:color w:val="000000"/>
                <w:szCs w:val="24"/>
              </w:rPr>
              <w:t>468</w:t>
            </w:r>
          </w:p>
        </w:tc>
        <w:tc>
          <w:tcPr>
            <w:tcW w:w="4105" w:type="dxa"/>
          </w:tcPr>
          <w:p w14:paraId="12999A5C" w14:textId="6AF1FF4B" w:rsidR="00210CEF" w:rsidRPr="00285D9A" w:rsidRDefault="005B0934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 w:rsidRPr="00285D9A">
              <w:rPr>
                <w:rFonts w:asciiTheme="minorHAnsi" w:hAnsiTheme="minorHAnsi" w:cstheme="minorHAnsi"/>
                <w:szCs w:val="24"/>
              </w:rPr>
              <w:t xml:space="preserve">This is predominantly the </w:t>
            </w:r>
            <w:r w:rsidR="00285D9A">
              <w:rPr>
                <w:rFonts w:asciiTheme="minorHAnsi" w:hAnsiTheme="minorHAnsi" w:cstheme="minorHAnsi"/>
                <w:szCs w:val="24"/>
              </w:rPr>
              <w:t>a</w:t>
            </w:r>
            <w:r w:rsidR="00E43560" w:rsidRPr="00285D9A">
              <w:rPr>
                <w:rFonts w:asciiTheme="minorHAnsi" w:hAnsiTheme="minorHAnsi" w:cstheme="minorHAnsi"/>
                <w:szCs w:val="24"/>
              </w:rPr>
              <w:t>nticipated overspend on Asset Maintenance, of which is maintenance items not under the control of Assets &amp; Property.</w:t>
            </w:r>
            <w:r w:rsidR="006B37D1" w:rsidRPr="00285D9A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210CEF" w:rsidRPr="0071677B" w14:paraId="3D2B23F4" w14:textId="77777777" w:rsidTr="00F67B0B">
        <w:tc>
          <w:tcPr>
            <w:tcW w:w="2689" w:type="dxa"/>
            <w:shd w:val="clear" w:color="auto" w:fill="auto"/>
            <w:vAlign w:val="bottom"/>
          </w:tcPr>
          <w:p w14:paraId="4C56B5A4" w14:textId="77777777" w:rsidR="00210CEF" w:rsidRPr="00F67B0B" w:rsidRDefault="00210CEF">
            <w:pPr>
              <w:pStyle w:val="P"/>
              <w:rPr>
                <w:rFonts w:cs="Calibri"/>
                <w:color w:val="000000"/>
                <w:szCs w:val="24"/>
              </w:rPr>
            </w:pPr>
            <w:r w:rsidRPr="00F67B0B">
              <w:rPr>
                <w:rFonts w:cs="Calibri"/>
                <w:color w:val="000000"/>
                <w:szCs w:val="24"/>
              </w:rPr>
              <w:lastRenderedPageBreak/>
              <w:t>Planning &amp; Development</w:t>
            </w:r>
          </w:p>
          <w:p w14:paraId="35832234" w14:textId="77777777" w:rsidR="00210CEF" w:rsidRPr="00F67B0B" w:rsidRDefault="00210CEF">
            <w:pPr>
              <w:pStyle w:val="P"/>
              <w:rPr>
                <w:rFonts w:cs="Calibri"/>
                <w:color w:val="000000"/>
                <w:szCs w:val="24"/>
              </w:rPr>
            </w:pPr>
          </w:p>
          <w:p w14:paraId="02C405A1" w14:textId="77777777" w:rsidR="00210CEF" w:rsidRPr="00F67B0B" w:rsidRDefault="00210CEF">
            <w:pPr>
              <w:pStyle w:val="P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351891B5" w14:textId="463773CF" w:rsidR="00210CEF" w:rsidRPr="00F67B0B" w:rsidRDefault="0087054F">
            <w:pPr>
              <w:pStyle w:val="P"/>
              <w:rPr>
                <w:rFonts w:cs="Calibri"/>
                <w:color w:val="000000"/>
                <w:szCs w:val="24"/>
              </w:rPr>
            </w:pPr>
            <w:r w:rsidRPr="00F67B0B">
              <w:rPr>
                <w:rFonts w:cs="Calibri"/>
                <w:color w:val="000000"/>
                <w:szCs w:val="24"/>
              </w:rPr>
              <w:t>0.</w:t>
            </w:r>
            <w:r w:rsidR="0041012B" w:rsidRPr="00F67B0B">
              <w:rPr>
                <w:rFonts w:cs="Calibri"/>
                <w:color w:val="000000"/>
                <w:szCs w:val="24"/>
              </w:rPr>
              <w:t>8</w:t>
            </w:r>
            <w:r w:rsidR="00F67B0B" w:rsidRPr="00F67B0B">
              <w:rPr>
                <w:rFonts w:cs="Calibri"/>
                <w:color w:val="000000"/>
                <w:szCs w:val="24"/>
              </w:rPr>
              <w:t>01</w:t>
            </w:r>
          </w:p>
          <w:p w14:paraId="0A9AAAA5" w14:textId="77777777" w:rsidR="00210CEF" w:rsidRPr="00F67B0B" w:rsidRDefault="00210CEF">
            <w:pPr>
              <w:pStyle w:val="P"/>
              <w:rPr>
                <w:rFonts w:cs="Calibri"/>
                <w:color w:val="000000"/>
                <w:szCs w:val="24"/>
              </w:rPr>
            </w:pPr>
          </w:p>
          <w:p w14:paraId="6A9136E8" w14:textId="77777777" w:rsidR="00210CEF" w:rsidRPr="00F67B0B" w:rsidRDefault="00210CEF">
            <w:pPr>
              <w:pStyle w:val="P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5FF4609C" w14:textId="5BA2BFF7" w:rsidR="00210CEF" w:rsidRPr="00F67B0B" w:rsidRDefault="00210CEF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 w:rsidRPr="00F67B0B">
              <w:rPr>
                <w:rFonts w:asciiTheme="minorHAnsi" w:hAnsiTheme="minorHAnsi" w:cstheme="minorHAnsi"/>
                <w:szCs w:val="24"/>
              </w:rPr>
              <w:t xml:space="preserve">There are considerable additional costs within the service due to appeals and the need for experts and consultants.  </w:t>
            </w:r>
            <w:r w:rsidR="00CF5592" w:rsidRPr="00F67B0B">
              <w:rPr>
                <w:rFonts w:asciiTheme="minorHAnsi" w:hAnsiTheme="minorHAnsi" w:cstheme="minorHAnsi"/>
                <w:szCs w:val="24"/>
              </w:rPr>
              <w:t xml:space="preserve">There has been a </w:t>
            </w:r>
            <w:r w:rsidRPr="00F67B0B">
              <w:rPr>
                <w:rFonts w:asciiTheme="minorHAnsi" w:hAnsiTheme="minorHAnsi" w:cstheme="minorHAnsi"/>
                <w:szCs w:val="24"/>
              </w:rPr>
              <w:t>transfer from reserve</w:t>
            </w:r>
            <w:r w:rsidR="00CF5592" w:rsidRPr="00F67B0B">
              <w:rPr>
                <w:rFonts w:asciiTheme="minorHAnsi" w:hAnsiTheme="minorHAnsi" w:cstheme="minorHAnsi"/>
                <w:szCs w:val="24"/>
              </w:rPr>
              <w:t>s</w:t>
            </w:r>
            <w:r w:rsidRPr="00F67B0B">
              <w:rPr>
                <w:rFonts w:asciiTheme="minorHAnsi" w:hAnsiTheme="minorHAnsi" w:cstheme="minorHAnsi"/>
                <w:szCs w:val="24"/>
              </w:rPr>
              <w:t xml:space="preserve"> of approx. £0.9 million.</w:t>
            </w:r>
            <w:r w:rsidR="00CF5592" w:rsidRPr="00F67B0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9814BB" w:rsidRPr="00F67B0B">
              <w:rPr>
                <w:rFonts w:asciiTheme="minorHAnsi" w:hAnsiTheme="minorHAnsi" w:cstheme="minorHAnsi"/>
                <w:szCs w:val="24"/>
              </w:rPr>
              <w:t>t</w:t>
            </w:r>
            <w:r w:rsidR="00CF5592" w:rsidRPr="00F67B0B">
              <w:rPr>
                <w:rFonts w:asciiTheme="minorHAnsi" w:hAnsiTheme="minorHAnsi" w:cstheme="minorHAnsi"/>
                <w:szCs w:val="24"/>
              </w:rPr>
              <w:t>o help mitigate these additional costs</w:t>
            </w:r>
            <w:r w:rsidR="00FF0B9B" w:rsidRPr="00F67B0B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FE7BCE" w:rsidRPr="00F67B0B">
              <w:rPr>
                <w:rFonts w:asciiTheme="minorHAnsi" w:hAnsiTheme="minorHAnsi" w:cstheme="minorHAnsi"/>
                <w:szCs w:val="24"/>
              </w:rPr>
              <w:t>Reduced</w:t>
            </w:r>
            <w:r w:rsidR="00FF0B9B" w:rsidRPr="00F67B0B">
              <w:rPr>
                <w:rFonts w:asciiTheme="minorHAnsi" w:hAnsiTheme="minorHAnsi" w:cstheme="minorHAnsi"/>
                <w:szCs w:val="24"/>
              </w:rPr>
              <w:t xml:space="preserve"> income from land </w:t>
            </w:r>
            <w:r w:rsidR="00FE7BCE" w:rsidRPr="00F67B0B">
              <w:rPr>
                <w:rFonts w:asciiTheme="minorHAnsi" w:hAnsiTheme="minorHAnsi" w:cstheme="minorHAnsi"/>
                <w:szCs w:val="24"/>
              </w:rPr>
              <w:t>charges</w:t>
            </w:r>
            <w:r w:rsidR="00FF0B9B" w:rsidRPr="00F67B0B">
              <w:rPr>
                <w:rFonts w:asciiTheme="minorHAnsi" w:hAnsiTheme="minorHAnsi" w:cstheme="minorHAnsi"/>
                <w:szCs w:val="24"/>
              </w:rPr>
              <w:t xml:space="preserve"> due to economic climate </w:t>
            </w:r>
            <w:r w:rsidR="00FE7BCE" w:rsidRPr="00F67B0B">
              <w:rPr>
                <w:rFonts w:asciiTheme="minorHAnsi" w:hAnsiTheme="minorHAnsi" w:cstheme="minorHAnsi"/>
                <w:szCs w:val="24"/>
              </w:rPr>
              <w:t>deterring</w:t>
            </w:r>
            <w:r w:rsidR="00FF0B9B" w:rsidRPr="00F67B0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D02E2" w:rsidRPr="00F67B0B">
              <w:rPr>
                <w:rFonts w:asciiTheme="minorHAnsi" w:hAnsiTheme="minorHAnsi" w:cstheme="minorHAnsi"/>
                <w:szCs w:val="24"/>
              </w:rPr>
              <w:t>homeowners</w:t>
            </w:r>
            <w:r w:rsidR="00FF0B9B" w:rsidRPr="00F67B0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E7BCE" w:rsidRPr="00F67B0B">
              <w:rPr>
                <w:rFonts w:asciiTheme="minorHAnsi" w:hAnsiTheme="minorHAnsi" w:cstheme="minorHAnsi"/>
                <w:szCs w:val="24"/>
              </w:rPr>
              <w:t xml:space="preserve">requiring this service. </w:t>
            </w:r>
          </w:p>
        </w:tc>
      </w:tr>
      <w:tr w:rsidR="00210CEF" w:rsidRPr="0071677B" w14:paraId="68D8A27F" w14:textId="77777777">
        <w:tc>
          <w:tcPr>
            <w:tcW w:w="2689" w:type="dxa"/>
            <w:vAlign w:val="bottom"/>
          </w:tcPr>
          <w:p w14:paraId="3B0F14F8" w14:textId="77777777" w:rsidR="00210CEF" w:rsidRPr="007C7CE1" w:rsidRDefault="00210CEF">
            <w:pPr>
              <w:pStyle w:val="P"/>
              <w:rPr>
                <w:rFonts w:cs="Calibri"/>
                <w:color w:val="000000"/>
                <w:szCs w:val="24"/>
              </w:rPr>
            </w:pPr>
            <w:r w:rsidRPr="007C7CE1">
              <w:rPr>
                <w:rFonts w:cs="Calibri"/>
                <w:color w:val="000000"/>
                <w:szCs w:val="24"/>
              </w:rPr>
              <w:t>Regeneration &amp; Planning Policy</w:t>
            </w:r>
          </w:p>
          <w:p w14:paraId="4CA432F4" w14:textId="77777777" w:rsidR="00210CEF" w:rsidRPr="007C7CE1" w:rsidRDefault="00210CEF">
            <w:pPr>
              <w:pStyle w:val="P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vAlign w:val="bottom"/>
          </w:tcPr>
          <w:p w14:paraId="524391B5" w14:textId="09140CAF" w:rsidR="00210CEF" w:rsidRPr="007C7CE1" w:rsidRDefault="00210CEF">
            <w:pPr>
              <w:pStyle w:val="P"/>
              <w:rPr>
                <w:rFonts w:cs="Calibri"/>
                <w:color w:val="000000"/>
                <w:szCs w:val="24"/>
              </w:rPr>
            </w:pPr>
            <w:r w:rsidRPr="007C7CE1">
              <w:rPr>
                <w:rFonts w:cs="Calibri"/>
                <w:color w:val="000000"/>
                <w:szCs w:val="24"/>
              </w:rPr>
              <w:t>(</w:t>
            </w:r>
            <w:r w:rsidR="00D56BA6" w:rsidRPr="007C7CE1">
              <w:rPr>
                <w:rFonts w:cs="Calibri"/>
                <w:color w:val="000000"/>
                <w:szCs w:val="24"/>
              </w:rPr>
              <w:t>0.</w:t>
            </w:r>
            <w:r w:rsidR="007C7CE1">
              <w:rPr>
                <w:rFonts w:cs="Calibri"/>
                <w:color w:val="000000"/>
                <w:szCs w:val="24"/>
              </w:rPr>
              <w:t>308</w:t>
            </w:r>
            <w:r w:rsidR="0087054F" w:rsidRPr="007C7CE1">
              <w:rPr>
                <w:rFonts w:cs="Calibri"/>
                <w:color w:val="000000"/>
                <w:szCs w:val="24"/>
              </w:rPr>
              <w:t>)</w:t>
            </w:r>
          </w:p>
          <w:p w14:paraId="0539A925" w14:textId="77777777" w:rsidR="00210CEF" w:rsidRPr="007C7CE1" w:rsidRDefault="00210CEF">
            <w:pPr>
              <w:pStyle w:val="P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05" w:type="dxa"/>
          </w:tcPr>
          <w:p w14:paraId="101AA27F" w14:textId="066C7327" w:rsidR="00210CEF" w:rsidRPr="007C7CE1" w:rsidRDefault="00210CEF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 w:rsidRPr="007C7CE1">
              <w:rPr>
                <w:rFonts w:asciiTheme="minorHAnsi" w:hAnsiTheme="minorHAnsi" w:cstheme="minorHAnsi"/>
                <w:szCs w:val="24"/>
              </w:rPr>
              <w:t>A favourable forecast due to underspends on major projects</w:t>
            </w:r>
            <w:r w:rsidR="003677BF" w:rsidRPr="007C7CE1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="003B409C" w:rsidRPr="007C7CE1">
              <w:rPr>
                <w:rFonts w:asciiTheme="minorHAnsi" w:hAnsiTheme="minorHAnsi" w:cstheme="minorHAnsi"/>
                <w:szCs w:val="24"/>
              </w:rPr>
              <w:t>recharges to capital</w:t>
            </w:r>
            <w:r w:rsidRPr="007C7CE1">
              <w:rPr>
                <w:rFonts w:asciiTheme="minorHAnsi" w:hAnsiTheme="minorHAnsi" w:cstheme="minorHAnsi"/>
                <w:szCs w:val="24"/>
              </w:rPr>
              <w:t xml:space="preserve"> and planned savings to support current financial situation</w:t>
            </w:r>
          </w:p>
        </w:tc>
      </w:tr>
      <w:tr w:rsidR="00D56BA6" w:rsidRPr="0071677B" w14:paraId="715B9CE8" w14:textId="77777777">
        <w:tc>
          <w:tcPr>
            <w:tcW w:w="2689" w:type="dxa"/>
            <w:vAlign w:val="bottom"/>
          </w:tcPr>
          <w:p w14:paraId="2272D81F" w14:textId="77777777" w:rsidR="00D56BA6" w:rsidRPr="00B66116" w:rsidRDefault="00D56BA6">
            <w:pPr>
              <w:pStyle w:val="P"/>
              <w:rPr>
                <w:rFonts w:cs="Calibri"/>
                <w:color w:val="000000"/>
                <w:szCs w:val="24"/>
              </w:rPr>
            </w:pPr>
            <w:r w:rsidRPr="00B66116">
              <w:rPr>
                <w:rFonts w:cs="Calibri"/>
                <w:color w:val="000000"/>
                <w:szCs w:val="24"/>
              </w:rPr>
              <w:t>Regulatory services</w:t>
            </w:r>
          </w:p>
          <w:p w14:paraId="05822249" w14:textId="77777777" w:rsidR="0008306F" w:rsidRPr="00B66116" w:rsidRDefault="0008306F">
            <w:pPr>
              <w:pStyle w:val="P"/>
              <w:rPr>
                <w:rFonts w:cs="Calibri"/>
                <w:color w:val="000000"/>
                <w:szCs w:val="24"/>
              </w:rPr>
            </w:pPr>
          </w:p>
          <w:p w14:paraId="66FEC937" w14:textId="2AD9EDBC" w:rsidR="0008306F" w:rsidRPr="00B66116" w:rsidRDefault="0008306F">
            <w:pPr>
              <w:pStyle w:val="P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1842" w:type="dxa"/>
            <w:vAlign w:val="bottom"/>
          </w:tcPr>
          <w:p w14:paraId="3BA635C3" w14:textId="1DF902C2" w:rsidR="00D56BA6" w:rsidRPr="00B66116" w:rsidRDefault="00D56BA6">
            <w:pPr>
              <w:pStyle w:val="P"/>
              <w:rPr>
                <w:rFonts w:cs="Calibri"/>
                <w:color w:val="000000"/>
                <w:szCs w:val="24"/>
              </w:rPr>
            </w:pPr>
            <w:r w:rsidRPr="00B66116">
              <w:rPr>
                <w:rFonts w:cs="Calibri"/>
                <w:color w:val="000000"/>
                <w:szCs w:val="24"/>
              </w:rPr>
              <w:t>(</w:t>
            </w:r>
            <w:r w:rsidR="00171A7C" w:rsidRPr="00B66116">
              <w:rPr>
                <w:rFonts w:cs="Calibri"/>
                <w:color w:val="000000"/>
                <w:szCs w:val="24"/>
              </w:rPr>
              <w:t>0.</w:t>
            </w:r>
            <w:r w:rsidR="0087054F" w:rsidRPr="00B66116">
              <w:rPr>
                <w:rFonts w:cs="Calibri"/>
                <w:color w:val="000000"/>
                <w:szCs w:val="24"/>
              </w:rPr>
              <w:t>2</w:t>
            </w:r>
            <w:r w:rsidR="00AC1384" w:rsidRPr="00B66116">
              <w:rPr>
                <w:rFonts w:cs="Calibri"/>
                <w:color w:val="000000"/>
                <w:szCs w:val="24"/>
              </w:rPr>
              <w:t>68</w:t>
            </w:r>
            <w:r w:rsidR="0087054F" w:rsidRPr="00B66116">
              <w:rPr>
                <w:rFonts w:cs="Calibri"/>
                <w:color w:val="000000"/>
                <w:szCs w:val="24"/>
              </w:rPr>
              <w:t>)</w:t>
            </w:r>
          </w:p>
          <w:p w14:paraId="4E5D04A4" w14:textId="77777777" w:rsidR="0008306F" w:rsidRPr="00B66116" w:rsidRDefault="0008306F">
            <w:pPr>
              <w:pStyle w:val="P"/>
              <w:rPr>
                <w:rFonts w:cs="Calibri"/>
                <w:color w:val="000000"/>
                <w:szCs w:val="24"/>
              </w:rPr>
            </w:pPr>
          </w:p>
          <w:p w14:paraId="577A3612" w14:textId="726957DF" w:rsidR="0008306F" w:rsidRPr="00B66116" w:rsidRDefault="0008306F">
            <w:pPr>
              <w:pStyle w:val="P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4105" w:type="dxa"/>
          </w:tcPr>
          <w:p w14:paraId="06792A62" w14:textId="434D4367" w:rsidR="00D56BA6" w:rsidRPr="0071677B" w:rsidRDefault="00C077D2">
            <w:pPr>
              <w:pStyle w:val="P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B66116">
              <w:rPr>
                <w:rFonts w:asciiTheme="minorHAnsi" w:hAnsiTheme="minorHAnsi" w:cstheme="minorHAnsi"/>
                <w:szCs w:val="24"/>
              </w:rPr>
              <w:t xml:space="preserve">Unbudgeted additional income due to the HMO </w:t>
            </w:r>
            <w:r w:rsidR="007D02E2" w:rsidRPr="00B66116">
              <w:rPr>
                <w:rFonts w:asciiTheme="minorHAnsi" w:hAnsiTheme="minorHAnsi" w:cstheme="minorHAnsi"/>
                <w:szCs w:val="24"/>
              </w:rPr>
              <w:t>4-year</w:t>
            </w:r>
            <w:r w:rsidRPr="00B66116">
              <w:rPr>
                <w:rFonts w:asciiTheme="minorHAnsi" w:hAnsiTheme="minorHAnsi" w:cstheme="minorHAnsi"/>
                <w:szCs w:val="24"/>
              </w:rPr>
              <w:t xml:space="preserve"> renewal</w:t>
            </w:r>
            <w:r w:rsidR="001528CC" w:rsidRPr="00B66116">
              <w:rPr>
                <w:rFonts w:asciiTheme="minorHAnsi" w:hAnsiTheme="minorHAnsi" w:cstheme="minorHAnsi"/>
                <w:szCs w:val="24"/>
              </w:rPr>
              <w:t xml:space="preserve"> in addition to increased grant income </w:t>
            </w:r>
            <w:r w:rsidR="00064DE2" w:rsidRPr="00B66116">
              <w:rPr>
                <w:rFonts w:asciiTheme="minorHAnsi" w:hAnsiTheme="minorHAnsi" w:cstheme="minorHAnsi"/>
                <w:szCs w:val="24"/>
              </w:rPr>
              <w:t xml:space="preserve">from </w:t>
            </w:r>
            <w:r w:rsidR="00384B65" w:rsidRPr="00B66116">
              <w:rPr>
                <w:rFonts w:asciiTheme="minorHAnsi" w:hAnsiTheme="minorHAnsi" w:cstheme="minorHAnsi"/>
                <w:szCs w:val="24"/>
              </w:rPr>
              <w:t>A</w:t>
            </w:r>
            <w:r w:rsidR="00064DE2" w:rsidRPr="00B66116">
              <w:rPr>
                <w:rFonts w:asciiTheme="minorHAnsi" w:hAnsiTheme="minorHAnsi" w:cstheme="minorHAnsi"/>
                <w:szCs w:val="24"/>
              </w:rPr>
              <w:t xml:space="preserve">ir </w:t>
            </w:r>
            <w:r w:rsidR="00384B65" w:rsidRPr="00B66116">
              <w:rPr>
                <w:rFonts w:asciiTheme="minorHAnsi" w:hAnsiTheme="minorHAnsi" w:cstheme="minorHAnsi"/>
                <w:szCs w:val="24"/>
              </w:rPr>
              <w:t>Q</w:t>
            </w:r>
            <w:r w:rsidR="00064DE2" w:rsidRPr="00B66116">
              <w:rPr>
                <w:rFonts w:asciiTheme="minorHAnsi" w:hAnsiTheme="minorHAnsi" w:cstheme="minorHAnsi"/>
                <w:szCs w:val="24"/>
              </w:rPr>
              <w:t xml:space="preserve">uality </w:t>
            </w:r>
            <w:r w:rsidR="00384B65" w:rsidRPr="00B66116">
              <w:rPr>
                <w:rFonts w:asciiTheme="minorHAnsi" w:hAnsiTheme="minorHAnsi" w:cstheme="minorHAnsi"/>
                <w:szCs w:val="24"/>
              </w:rPr>
              <w:t>Active Travel G</w:t>
            </w:r>
            <w:r w:rsidR="00064DE2" w:rsidRPr="00B66116">
              <w:rPr>
                <w:rFonts w:asciiTheme="minorHAnsi" w:hAnsiTheme="minorHAnsi" w:cstheme="minorHAnsi"/>
                <w:szCs w:val="24"/>
              </w:rPr>
              <w:t>rant. Savings on salaries due to recruitment freeze offse</w:t>
            </w:r>
            <w:r w:rsidR="00963E4D" w:rsidRPr="00B66116">
              <w:rPr>
                <w:rFonts w:asciiTheme="minorHAnsi" w:hAnsiTheme="minorHAnsi" w:cstheme="minorHAnsi"/>
                <w:szCs w:val="24"/>
              </w:rPr>
              <w:t>t</w:t>
            </w:r>
            <w:r w:rsidR="00064DE2" w:rsidRPr="00B66116">
              <w:rPr>
                <w:rFonts w:asciiTheme="minorHAnsi" w:hAnsiTheme="minorHAnsi" w:cstheme="minorHAnsi"/>
                <w:szCs w:val="24"/>
              </w:rPr>
              <w:t>t</w:t>
            </w:r>
            <w:r w:rsidR="00800F69" w:rsidRPr="00B66116">
              <w:rPr>
                <w:rFonts w:asciiTheme="minorHAnsi" w:hAnsiTheme="minorHAnsi" w:cstheme="minorHAnsi"/>
                <w:szCs w:val="24"/>
              </w:rPr>
              <w:t>ing</w:t>
            </w:r>
            <w:r w:rsidR="00064DE2" w:rsidRPr="00B6611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8306F" w:rsidRPr="00B66116">
              <w:rPr>
                <w:rFonts w:asciiTheme="minorHAnsi" w:hAnsiTheme="minorHAnsi" w:cstheme="minorHAnsi"/>
                <w:szCs w:val="24"/>
              </w:rPr>
              <w:t xml:space="preserve">additional costs due to risk management funding and health and safety training. </w:t>
            </w:r>
          </w:p>
        </w:tc>
      </w:tr>
    </w:tbl>
    <w:p w14:paraId="59DEE376" w14:textId="60218ED4" w:rsidR="00210CEF" w:rsidRPr="00B65FE2" w:rsidRDefault="00210CEF" w:rsidP="00210CEF">
      <w:pPr>
        <w:pStyle w:val="P"/>
        <w:rPr>
          <w:rFonts w:asciiTheme="minorHAnsi" w:hAnsiTheme="minorHAnsi" w:cstheme="minorHAnsi"/>
          <w:szCs w:val="24"/>
        </w:rPr>
      </w:pPr>
    </w:p>
    <w:p w14:paraId="56C91356" w14:textId="77777777" w:rsidR="00210CEF" w:rsidRPr="00B65FE2" w:rsidRDefault="00210CEF" w:rsidP="00210CEF">
      <w:pPr>
        <w:pStyle w:val="P"/>
        <w:rPr>
          <w:rFonts w:asciiTheme="minorHAnsi" w:hAnsiTheme="minorHAnsi" w:cstheme="minorHAnsi"/>
          <w:b/>
          <w:szCs w:val="24"/>
        </w:rPr>
      </w:pPr>
      <w:r w:rsidRPr="00B65FE2">
        <w:rPr>
          <w:rFonts w:asciiTheme="minorHAnsi" w:hAnsiTheme="minorHAnsi" w:cstheme="minorHAnsi"/>
          <w:b/>
          <w:szCs w:val="24"/>
        </w:rPr>
        <w:t>Transformation &amp; Governance Directorate</w:t>
      </w:r>
    </w:p>
    <w:p w14:paraId="7AF7B28A" w14:textId="468736EB" w:rsidR="00210CEF" w:rsidRPr="00B65FE2" w:rsidRDefault="00210CEF" w:rsidP="00210CEF">
      <w:pPr>
        <w:pStyle w:val="P"/>
        <w:rPr>
          <w:rFonts w:asciiTheme="minorHAnsi" w:hAnsiTheme="minorHAnsi" w:cstheme="minorHAnsi"/>
          <w:szCs w:val="24"/>
        </w:rPr>
      </w:pPr>
      <w:r w:rsidRPr="00B65FE2">
        <w:rPr>
          <w:rFonts w:asciiTheme="minorHAnsi" w:hAnsiTheme="minorHAnsi" w:cstheme="minorHAnsi"/>
          <w:szCs w:val="24"/>
        </w:rPr>
        <w:t xml:space="preserve">The Transformation &amp; Governance Directorate is currently forecasting to be </w:t>
      </w:r>
      <w:r w:rsidR="00BC7994" w:rsidRPr="00B65FE2">
        <w:rPr>
          <w:rFonts w:asciiTheme="minorHAnsi" w:hAnsiTheme="minorHAnsi" w:cstheme="minorHAnsi"/>
          <w:szCs w:val="24"/>
        </w:rPr>
        <w:t>underspent</w:t>
      </w:r>
      <w:r w:rsidRPr="00B65FE2">
        <w:rPr>
          <w:rFonts w:asciiTheme="minorHAnsi" w:hAnsiTheme="minorHAnsi" w:cstheme="minorHAnsi"/>
          <w:szCs w:val="24"/>
        </w:rPr>
        <w:t xml:space="preserve"> by £</w:t>
      </w:r>
      <w:r w:rsidR="0098104B" w:rsidRPr="00B65FE2">
        <w:rPr>
          <w:rFonts w:asciiTheme="minorHAnsi" w:hAnsiTheme="minorHAnsi" w:cstheme="minorHAnsi"/>
          <w:szCs w:val="24"/>
        </w:rPr>
        <w:t>1.</w:t>
      </w:r>
      <w:r w:rsidR="00B65FE2" w:rsidRPr="00B65FE2">
        <w:rPr>
          <w:rFonts w:asciiTheme="minorHAnsi" w:hAnsiTheme="minorHAnsi" w:cstheme="minorHAnsi"/>
          <w:szCs w:val="24"/>
        </w:rPr>
        <w:t>719</w:t>
      </w:r>
      <w:r w:rsidRPr="00B65FE2">
        <w:rPr>
          <w:rFonts w:asciiTheme="minorHAnsi" w:hAnsiTheme="minorHAnsi" w:cstheme="minorHAnsi"/>
          <w:szCs w:val="24"/>
        </w:rPr>
        <w:t xml:space="preserve"> </w:t>
      </w:r>
      <w:r w:rsidR="0004412D" w:rsidRPr="00B65FE2">
        <w:rPr>
          <w:rFonts w:asciiTheme="minorHAnsi" w:hAnsiTheme="minorHAnsi" w:cstheme="minorHAnsi"/>
          <w:szCs w:val="24"/>
        </w:rPr>
        <w:t>million.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815"/>
        <w:gridCol w:w="1366"/>
        <w:gridCol w:w="1327"/>
        <w:gridCol w:w="1418"/>
      </w:tblGrid>
      <w:tr w:rsidR="00210CEF" w:rsidRPr="0071677B" w14:paraId="2F84B359" w14:textId="77777777">
        <w:tc>
          <w:tcPr>
            <w:tcW w:w="4815" w:type="dxa"/>
          </w:tcPr>
          <w:p w14:paraId="0B895258" w14:textId="77777777" w:rsidR="00210CEF" w:rsidRPr="00B65FE2" w:rsidRDefault="00210CEF">
            <w:pPr>
              <w:pStyle w:val="P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E28B756" w14:textId="77777777" w:rsidR="00210CEF" w:rsidRPr="00B65FE2" w:rsidRDefault="00210CEF">
            <w:pPr>
              <w:pStyle w:val="P"/>
              <w:jc w:val="center"/>
              <w:rPr>
                <w:rFonts w:asciiTheme="minorHAnsi" w:hAnsiTheme="minorHAnsi" w:cstheme="minorHAnsi"/>
                <w:szCs w:val="24"/>
              </w:rPr>
            </w:pPr>
            <w:r w:rsidRPr="00B65FE2">
              <w:rPr>
                <w:rFonts w:asciiTheme="minorHAnsi" w:hAnsiTheme="minorHAnsi" w:cstheme="minorHAnsi"/>
                <w:szCs w:val="24"/>
              </w:rPr>
              <w:t>Transformation &amp; Governance</w:t>
            </w:r>
          </w:p>
        </w:tc>
        <w:tc>
          <w:tcPr>
            <w:tcW w:w="1366" w:type="dxa"/>
          </w:tcPr>
          <w:p w14:paraId="6B0E2F03" w14:textId="77777777" w:rsidR="00210CEF" w:rsidRPr="00B65FE2" w:rsidRDefault="00210CEF">
            <w:pPr>
              <w:pStyle w:val="P"/>
              <w:jc w:val="center"/>
              <w:rPr>
                <w:rFonts w:asciiTheme="minorHAnsi" w:hAnsiTheme="minorHAnsi" w:cstheme="minorHAnsi"/>
                <w:szCs w:val="24"/>
              </w:rPr>
            </w:pPr>
            <w:r w:rsidRPr="00B65FE2">
              <w:rPr>
                <w:rFonts w:asciiTheme="minorHAnsi" w:hAnsiTheme="minorHAnsi" w:cstheme="minorHAnsi"/>
                <w:sz w:val="28"/>
                <w:szCs w:val="28"/>
              </w:rPr>
              <w:t>2023/24 Revised Budget          £ million</w:t>
            </w:r>
          </w:p>
        </w:tc>
        <w:tc>
          <w:tcPr>
            <w:tcW w:w="1327" w:type="dxa"/>
          </w:tcPr>
          <w:p w14:paraId="1A2E7EF4" w14:textId="77777777" w:rsidR="00210CEF" w:rsidRPr="00B65FE2" w:rsidRDefault="00210CEF">
            <w:pPr>
              <w:pStyle w:val="P"/>
              <w:jc w:val="center"/>
              <w:rPr>
                <w:rFonts w:asciiTheme="minorHAnsi" w:hAnsiTheme="minorHAnsi" w:cstheme="minorHAnsi"/>
                <w:szCs w:val="24"/>
              </w:rPr>
            </w:pPr>
            <w:r w:rsidRPr="00B65FE2">
              <w:rPr>
                <w:rFonts w:asciiTheme="minorHAnsi" w:hAnsiTheme="minorHAnsi" w:cstheme="minorHAnsi"/>
                <w:sz w:val="28"/>
                <w:szCs w:val="28"/>
              </w:rPr>
              <w:t>2023/24 Year-end Forecast         £ million</w:t>
            </w:r>
          </w:p>
        </w:tc>
        <w:tc>
          <w:tcPr>
            <w:tcW w:w="1418" w:type="dxa"/>
          </w:tcPr>
          <w:p w14:paraId="04C909AC" w14:textId="77777777" w:rsidR="00210CEF" w:rsidRPr="00B65FE2" w:rsidRDefault="00210CEF">
            <w:pPr>
              <w:pStyle w:val="P"/>
              <w:jc w:val="center"/>
              <w:rPr>
                <w:rFonts w:asciiTheme="minorHAnsi" w:hAnsiTheme="minorHAnsi" w:cstheme="minorHAnsi"/>
                <w:szCs w:val="24"/>
              </w:rPr>
            </w:pPr>
            <w:r w:rsidRPr="00B65FE2">
              <w:rPr>
                <w:rFonts w:asciiTheme="minorHAnsi" w:hAnsiTheme="minorHAnsi" w:cstheme="minorHAnsi"/>
                <w:sz w:val="28"/>
                <w:szCs w:val="28"/>
              </w:rPr>
              <w:t>2023/24 Variance         £ million</w:t>
            </w:r>
          </w:p>
        </w:tc>
      </w:tr>
      <w:tr w:rsidR="00210CEF" w:rsidRPr="0071677B" w14:paraId="42C6E440" w14:textId="77777777">
        <w:tc>
          <w:tcPr>
            <w:tcW w:w="4815" w:type="dxa"/>
            <w:vAlign w:val="bottom"/>
          </w:tcPr>
          <w:p w14:paraId="10E12916" w14:textId="77777777" w:rsidR="00210CEF" w:rsidRPr="00B65FE2" w:rsidRDefault="00210CEF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 w:rsidRPr="00B65FE2">
              <w:rPr>
                <w:rFonts w:cs="Calibri"/>
                <w:color w:val="000000"/>
                <w:szCs w:val="24"/>
              </w:rPr>
              <w:t>Commercial Services</w:t>
            </w:r>
          </w:p>
        </w:tc>
        <w:tc>
          <w:tcPr>
            <w:tcW w:w="1366" w:type="dxa"/>
            <w:vAlign w:val="bottom"/>
          </w:tcPr>
          <w:p w14:paraId="28F1FCF9" w14:textId="1A165181" w:rsidR="00210CEF" w:rsidRPr="00B65FE2" w:rsidRDefault="004A6A0A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1.889</w:t>
            </w:r>
          </w:p>
        </w:tc>
        <w:tc>
          <w:tcPr>
            <w:tcW w:w="1327" w:type="dxa"/>
            <w:vAlign w:val="bottom"/>
          </w:tcPr>
          <w:p w14:paraId="668296F9" w14:textId="6C58BBEE" w:rsidR="00210CEF" w:rsidRPr="00B65FE2" w:rsidRDefault="0014132D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0.810</w:t>
            </w:r>
          </w:p>
        </w:tc>
        <w:tc>
          <w:tcPr>
            <w:tcW w:w="1418" w:type="dxa"/>
            <w:vAlign w:val="bottom"/>
          </w:tcPr>
          <w:p w14:paraId="3AE6C957" w14:textId="666E7B0A" w:rsidR="00210CEF" w:rsidRPr="00B65FE2" w:rsidRDefault="0014132D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(1.</w:t>
            </w:r>
            <w:r w:rsidR="00D91C60">
              <w:rPr>
                <w:rFonts w:asciiTheme="minorHAnsi" w:hAnsiTheme="minorHAnsi" w:cstheme="minorHAnsi"/>
                <w:szCs w:val="24"/>
              </w:rPr>
              <w:t>079</w:t>
            </w:r>
            <w:r>
              <w:rPr>
                <w:rFonts w:asciiTheme="minorHAnsi" w:hAnsiTheme="minorHAnsi" w:cstheme="minorHAnsi"/>
                <w:szCs w:val="24"/>
              </w:rPr>
              <w:t>)</w:t>
            </w:r>
          </w:p>
        </w:tc>
      </w:tr>
      <w:tr w:rsidR="00210CEF" w:rsidRPr="0071677B" w14:paraId="5B523BC8" w14:textId="77777777">
        <w:tc>
          <w:tcPr>
            <w:tcW w:w="4815" w:type="dxa"/>
            <w:vAlign w:val="bottom"/>
          </w:tcPr>
          <w:p w14:paraId="632F3654" w14:textId="77777777" w:rsidR="00210CEF" w:rsidRPr="00B65FE2" w:rsidRDefault="00210CEF">
            <w:pPr>
              <w:pStyle w:val="P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65FE2">
              <w:rPr>
                <w:rFonts w:cs="Calibri"/>
                <w:color w:val="000000"/>
                <w:szCs w:val="24"/>
              </w:rPr>
              <w:t>Finance</w:t>
            </w:r>
          </w:p>
        </w:tc>
        <w:tc>
          <w:tcPr>
            <w:tcW w:w="1366" w:type="dxa"/>
            <w:vAlign w:val="bottom"/>
          </w:tcPr>
          <w:p w14:paraId="25440E82" w14:textId="123D6203" w:rsidR="00210CEF" w:rsidRPr="00B65FE2" w:rsidRDefault="004A6A0A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1.540</w:t>
            </w:r>
          </w:p>
        </w:tc>
        <w:tc>
          <w:tcPr>
            <w:tcW w:w="1327" w:type="dxa"/>
            <w:vAlign w:val="bottom"/>
          </w:tcPr>
          <w:p w14:paraId="3EED4A79" w14:textId="6110E61B" w:rsidR="00210CEF" w:rsidRPr="00B65FE2" w:rsidRDefault="004A6A0A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1.415</w:t>
            </w:r>
          </w:p>
        </w:tc>
        <w:tc>
          <w:tcPr>
            <w:tcW w:w="1418" w:type="dxa"/>
            <w:vAlign w:val="bottom"/>
          </w:tcPr>
          <w:p w14:paraId="304ED51B" w14:textId="731A6CDC" w:rsidR="00210CEF" w:rsidRPr="00B65FE2" w:rsidRDefault="004A6A0A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(0.</w:t>
            </w:r>
            <w:r w:rsidR="00C23441">
              <w:rPr>
                <w:rFonts w:asciiTheme="minorHAnsi" w:hAnsiTheme="minorHAnsi" w:cstheme="minorHAnsi"/>
                <w:szCs w:val="24"/>
              </w:rPr>
              <w:t>125</w:t>
            </w:r>
            <w:r>
              <w:rPr>
                <w:rFonts w:asciiTheme="minorHAnsi" w:hAnsiTheme="minorHAnsi" w:cstheme="minorHAnsi"/>
                <w:szCs w:val="24"/>
              </w:rPr>
              <w:t>)</w:t>
            </w:r>
          </w:p>
        </w:tc>
      </w:tr>
      <w:tr w:rsidR="00B408A6" w:rsidRPr="0071677B" w14:paraId="48526504" w14:textId="77777777">
        <w:tc>
          <w:tcPr>
            <w:tcW w:w="4815" w:type="dxa"/>
            <w:vAlign w:val="bottom"/>
          </w:tcPr>
          <w:p w14:paraId="3B50613C" w14:textId="4B11880A" w:rsidR="00B408A6" w:rsidRPr="00B65FE2" w:rsidRDefault="0047422D">
            <w:pPr>
              <w:pStyle w:val="P"/>
              <w:rPr>
                <w:rFonts w:cs="Calibri"/>
                <w:color w:val="000000"/>
                <w:szCs w:val="24"/>
              </w:rPr>
            </w:pPr>
            <w:r w:rsidRPr="00B65FE2">
              <w:rPr>
                <w:rFonts w:cs="Calibri"/>
                <w:color w:val="000000"/>
                <w:szCs w:val="24"/>
              </w:rPr>
              <w:t>Corporate Management</w:t>
            </w:r>
          </w:p>
        </w:tc>
        <w:tc>
          <w:tcPr>
            <w:tcW w:w="1366" w:type="dxa"/>
            <w:vAlign w:val="bottom"/>
          </w:tcPr>
          <w:p w14:paraId="15AF06A1" w14:textId="32048E41" w:rsidR="00B408A6" w:rsidRPr="00B65FE2" w:rsidRDefault="004A6A0A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1.890</w:t>
            </w:r>
          </w:p>
        </w:tc>
        <w:tc>
          <w:tcPr>
            <w:tcW w:w="1327" w:type="dxa"/>
            <w:vAlign w:val="bottom"/>
          </w:tcPr>
          <w:p w14:paraId="769DFB11" w14:textId="6A8AC621" w:rsidR="00B408A6" w:rsidRPr="00B65FE2" w:rsidRDefault="00536A8A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1.755</w:t>
            </w:r>
          </w:p>
        </w:tc>
        <w:tc>
          <w:tcPr>
            <w:tcW w:w="1418" w:type="dxa"/>
            <w:vAlign w:val="bottom"/>
          </w:tcPr>
          <w:p w14:paraId="25B5BE4D" w14:textId="500EF123" w:rsidR="00B408A6" w:rsidRPr="00B65FE2" w:rsidRDefault="00536A8A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(0.135)</w:t>
            </w:r>
          </w:p>
        </w:tc>
      </w:tr>
      <w:tr w:rsidR="00B408A6" w:rsidRPr="0071677B" w14:paraId="279329CA" w14:textId="77777777">
        <w:tc>
          <w:tcPr>
            <w:tcW w:w="4815" w:type="dxa"/>
            <w:vAlign w:val="bottom"/>
          </w:tcPr>
          <w:p w14:paraId="21316426" w14:textId="0EBC7374" w:rsidR="00B408A6" w:rsidRPr="00B65FE2" w:rsidRDefault="008F400D">
            <w:pPr>
              <w:pStyle w:val="P"/>
              <w:rPr>
                <w:rFonts w:cs="Calibri"/>
                <w:color w:val="000000"/>
                <w:szCs w:val="24"/>
              </w:rPr>
            </w:pPr>
            <w:r w:rsidRPr="00B65FE2">
              <w:rPr>
                <w:rFonts w:cs="Calibri"/>
                <w:color w:val="000000"/>
                <w:szCs w:val="24"/>
              </w:rPr>
              <w:t>Unallocated Costs</w:t>
            </w:r>
          </w:p>
        </w:tc>
        <w:tc>
          <w:tcPr>
            <w:tcW w:w="1366" w:type="dxa"/>
            <w:vAlign w:val="bottom"/>
          </w:tcPr>
          <w:p w14:paraId="7EDBDCB8" w14:textId="40E41801" w:rsidR="00B408A6" w:rsidRPr="00B65FE2" w:rsidRDefault="00536A8A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3.106</w:t>
            </w:r>
          </w:p>
        </w:tc>
        <w:tc>
          <w:tcPr>
            <w:tcW w:w="1327" w:type="dxa"/>
            <w:vAlign w:val="bottom"/>
          </w:tcPr>
          <w:p w14:paraId="53AF73A8" w14:textId="69518C74" w:rsidR="00B408A6" w:rsidRPr="00B65FE2" w:rsidRDefault="00536A8A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3.079</w:t>
            </w:r>
          </w:p>
        </w:tc>
        <w:tc>
          <w:tcPr>
            <w:tcW w:w="1418" w:type="dxa"/>
            <w:vAlign w:val="bottom"/>
          </w:tcPr>
          <w:p w14:paraId="0CF4D4C4" w14:textId="1D011910" w:rsidR="00B408A6" w:rsidRPr="00B65FE2" w:rsidRDefault="00536A8A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(0.028)</w:t>
            </w:r>
          </w:p>
        </w:tc>
      </w:tr>
      <w:tr w:rsidR="00210CEF" w:rsidRPr="0071677B" w14:paraId="7D515F3F" w14:textId="77777777">
        <w:tc>
          <w:tcPr>
            <w:tcW w:w="4815" w:type="dxa"/>
            <w:vAlign w:val="bottom"/>
          </w:tcPr>
          <w:p w14:paraId="7CCC52BA" w14:textId="77777777" w:rsidR="00210CEF" w:rsidRPr="00B65FE2" w:rsidRDefault="00210CEF">
            <w:pPr>
              <w:pStyle w:val="P"/>
              <w:rPr>
                <w:rFonts w:cs="Calibri"/>
                <w:color w:val="000000"/>
                <w:szCs w:val="24"/>
              </w:rPr>
            </w:pPr>
            <w:r w:rsidRPr="00B65FE2">
              <w:rPr>
                <w:rFonts w:cs="Calibri"/>
                <w:color w:val="000000"/>
                <w:szCs w:val="24"/>
              </w:rPr>
              <w:t>Legal &amp; Democratic Services</w:t>
            </w:r>
          </w:p>
        </w:tc>
        <w:tc>
          <w:tcPr>
            <w:tcW w:w="1366" w:type="dxa"/>
            <w:vAlign w:val="bottom"/>
          </w:tcPr>
          <w:p w14:paraId="458E9910" w14:textId="583F7726" w:rsidR="00210CEF" w:rsidRPr="00B65FE2" w:rsidRDefault="00536A8A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0.815</w:t>
            </w:r>
          </w:p>
        </w:tc>
        <w:tc>
          <w:tcPr>
            <w:tcW w:w="1327" w:type="dxa"/>
            <w:vAlign w:val="bottom"/>
          </w:tcPr>
          <w:p w14:paraId="0A92DF72" w14:textId="2E4BDD92" w:rsidR="00210CEF" w:rsidRPr="00B65FE2" w:rsidRDefault="00536A8A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0.632</w:t>
            </w:r>
          </w:p>
        </w:tc>
        <w:tc>
          <w:tcPr>
            <w:tcW w:w="1418" w:type="dxa"/>
            <w:vAlign w:val="bottom"/>
          </w:tcPr>
          <w:p w14:paraId="3F92C9B8" w14:textId="0468F8CF" w:rsidR="00210CEF" w:rsidRPr="00B65FE2" w:rsidRDefault="007664FC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0.067</w:t>
            </w:r>
          </w:p>
        </w:tc>
      </w:tr>
      <w:tr w:rsidR="00210CEF" w:rsidRPr="0071677B" w14:paraId="7F848C90" w14:textId="77777777">
        <w:tc>
          <w:tcPr>
            <w:tcW w:w="4815" w:type="dxa"/>
            <w:vAlign w:val="bottom"/>
          </w:tcPr>
          <w:p w14:paraId="531FAC57" w14:textId="77777777" w:rsidR="00210CEF" w:rsidRPr="00B65FE2" w:rsidRDefault="00210CEF">
            <w:pPr>
              <w:pStyle w:val="P"/>
              <w:rPr>
                <w:rFonts w:cs="Calibri"/>
                <w:color w:val="000000"/>
                <w:szCs w:val="24"/>
              </w:rPr>
            </w:pPr>
            <w:r w:rsidRPr="00B65FE2">
              <w:rPr>
                <w:rFonts w:cs="Calibri"/>
                <w:color w:val="000000"/>
                <w:szCs w:val="24"/>
              </w:rPr>
              <w:lastRenderedPageBreak/>
              <w:t>Organisational Development</w:t>
            </w:r>
          </w:p>
        </w:tc>
        <w:tc>
          <w:tcPr>
            <w:tcW w:w="1366" w:type="dxa"/>
            <w:vAlign w:val="bottom"/>
          </w:tcPr>
          <w:p w14:paraId="012356AF" w14:textId="00AE1759" w:rsidR="00210CEF" w:rsidRPr="00B65FE2" w:rsidRDefault="007664FC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0.197</w:t>
            </w:r>
          </w:p>
        </w:tc>
        <w:tc>
          <w:tcPr>
            <w:tcW w:w="1327" w:type="dxa"/>
            <w:vAlign w:val="bottom"/>
          </w:tcPr>
          <w:p w14:paraId="43C11938" w14:textId="3EA87225" w:rsidR="00210CEF" w:rsidRPr="00B65FE2" w:rsidRDefault="007664FC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0.208</w:t>
            </w:r>
          </w:p>
        </w:tc>
        <w:tc>
          <w:tcPr>
            <w:tcW w:w="1418" w:type="dxa"/>
            <w:vAlign w:val="bottom"/>
          </w:tcPr>
          <w:p w14:paraId="61F1422C" w14:textId="56300E51" w:rsidR="00210CEF" w:rsidRPr="00B65FE2" w:rsidRDefault="007664FC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0.011</w:t>
            </w:r>
          </w:p>
        </w:tc>
      </w:tr>
      <w:tr w:rsidR="00210CEF" w:rsidRPr="0071677B" w14:paraId="206941AA" w14:textId="77777777">
        <w:tc>
          <w:tcPr>
            <w:tcW w:w="4815" w:type="dxa"/>
            <w:vAlign w:val="bottom"/>
          </w:tcPr>
          <w:p w14:paraId="1B1176D0" w14:textId="77777777" w:rsidR="00210CEF" w:rsidRPr="00B65FE2" w:rsidRDefault="00210CEF">
            <w:pPr>
              <w:pStyle w:val="P"/>
              <w:rPr>
                <w:rFonts w:cs="Calibri"/>
                <w:color w:val="000000"/>
                <w:szCs w:val="24"/>
              </w:rPr>
            </w:pPr>
            <w:r w:rsidRPr="00B65FE2">
              <w:rPr>
                <w:rFonts w:cs="Calibri"/>
                <w:color w:val="000000"/>
                <w:szCs w:val="24"/>
              </w:rPr>
              <w:t>Total Transformation &amp; Governance</w:t>
            </w:r>
          </w:p>
        </w:tc>
        <w:tc>
          <w:tcPr>
            <w:tcW w:w="1366" w:type="dxa"/>
          </w:tcPr>
          <w:p w14:paraId="0807BED7" w14:textId="7B7077F5" w:rsidR="00210CEF" w:rsidRPr="00B65FE2" w:rsidRDefault="005D3D8C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 w:rsidRPr="00B65FE2">
              <w:rPr>
                <w:rFonts w:asciiTheme="minorHAnsi" w:hAnsiTheme="minorHAnsi" w:cstheme="minorHAnsi"/>
                <w:szCs w:val="24"/>
              </w:rPr>
              <w:t>9.4</w:t>
            </w:r>
            <w:r w:rsidR="0014132D">
              <w:rPr>
                <w:rFonts w:asciiTheme="minorHAnsi" w:hAnsiTheme="minorHAnsi" w:cstheme="minorHAnsi"/>
                <w:szCs w:val="24"/>
              </w:rPr>
              <w:t>38</w:t>
            </w:r>
          </w:p>
        </w:tc>
        <w:tc>
          <w:tcPr>
            <w:tcW w:w="1327" w:type="dxa"/>
          </w:tcPr>
          <w:p w14:paraId="2C30F734" w14:textId="17B1DC1D" w:rsidR="00210CEF" w:rsidRPr="00B65FE2" w:rsidRDefault="0014132D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7.899</w:t>
            </w:r>
          </w:p>
        </w:tc>
        <w:tc>
          <w:tcPr>
            <w:tcW w:w="1418" w:type="dxa"/>
          </w:tcPr>
          <w:p w14:paraId="6D884919" w14:textId="36427D9C" w:rsidR="00210CEF" w:rsidRPr="00B65FE2" w:rsidRDefault="0014132D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(1.</w:t>
            </w:r>
            <w:r w:rsidR="00C23441">
              <w:rPr>
                <w:rFonts w:asciiTheme="minorHAnsi" w:hAnsiTheme="minorHAnsi" w:cstheme="minorHAnsi"/>
                <w:szCs w:val="24"/>
              </w:rPr>
              <w:t>539</w:t>
            </w:r>
            <w:r>
              <w:rPr>
                <w:rFonts w:asciiTheme="minorHAnsi" w:hAnsiTheme="minorHAnsi" w:cstheme="minorHAnsi"/>
                <w:szCs w:val="24"/>
              </w:rPr>
              <w:t>)</w:t>
            </w:r>
          </w:p>
        </w:tc>
      </w:tr>
    </w:tbl>
    <w:p w14:paraId="0108DAB9" w14:textId="005EE1BE" w:rsidR="00210CEF" w:rsidRPr="0071677B" w:rsidRDefault="00210CEF" w:rsidP="00210CEF">
      <w:pPr>
        <w:pStyle w:val="P"/>
        <w:rPr>
          <w:rFonts w:asciiTheme="minorHAnsi" w:hAnsiTheme="minorHAnsi" w:cstheme="minorHAnsi"/>
          <w:szCs w:val="24"/>
          <w:highlight w:val="yellow"/>
        </w:rPr>
      </w:pPr>
    </w:p>
    <w:p w14:paraId="49053E85" w14:textId="0ABBC995" w:rsidR="00210CEF" w:rsidRPr="007664FC" w:rsidRDefault="00210CEF" w:rsidP="00210CEF">
      <w:pPr>
        <w:pStyle w:val="P"/>
        <w:rPr>
          <w:rFonts w:asciiTheme="minorHAnsi" w:hAnsiTheme="minorHAnsi" w:cstheme="minorHAnsi"/>
          <w:szCs w:val="24"/>
        </w:rPr>
      </w:pPr>
      <w:r w:rsidRPr="007664FC">
        <w:rPr>
          <w:rFonts w:asciiTheme="minorHAnsi" w:hAnsiTheme="minorHAnsi" w:cstheme="minorHAnsi"/>
          <w:szCs w:val="24"/>
        </w:rPr>
        <w:t xml:space="preserve">The key variances are detailed </w:t>
      </w:r>
      <w:r w:rsidR="0004412D" w:rsidRPr="007664FC">
        <w:rPr>
          <w:rFonts w:asciiTheme="minorHAnsi" w:hAnsiTheme="minorHAnsi" w:cstheme="minorHAnsi"/>
          <w:szCs w:val="24"/>
        </w:rPr>
        <w:t>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4105"/>
      </w:tblGrid>
      <w:tr w:rsidR="00210CEF" w:rsidRPr="0071677B" w14:paraId="7CF59BF7" w14:textId="77777777" w:rsidTr="726148CE">
        <w:tc>
          <w:tcPr>
            <w:tcW w:w="2689" w:type="dxa"/>
          </w:tcPr>
          <w:p w14:paraId="5AF6EB11" w14:textId="77777777" w:rsidR="00210CEF" w:rsidRPr="007664FC" w:rsidRDefault="00210CEF">
            <w:pPr>
              <w:pStyle w:val="P"/>
              <w:jc w:val="center"/>
              <w:rPr>
                <w:rFonts w:asciiTheme="minorHAnsi" w:hAnsiTheme="minorHAnsi" w:cstheme="minorHAnsi"/>
                <w:szCs w:val="24"/>
              </w:rPr>
            </w:pPr>
            <w:r w:rsidRPr="007664FC">
              <w:rPr>
                <w:rFonts w:asciiTheme="minorHAnsi" w:hAnsiTheme="minorHAnsi" w:cstheme="minorHAnsi"/>
                <w:szCs w:val="24"/>
              </w:rPr>
              <w:t>Service Area</w:t>
            </w:r>
          </w:p>
        </w:tc>
        <w:tc>
          <w:tcPr>
            <w:tcW w:w="1842" w:type="dxa"/>
          </w:tcPr>
          <w:p w14:paraId="4DA4E3E2" w14:textId="77777777" w:rsidR="00210CEF" w:rsidRPr="007664FC" w:rsidRDefault="00210CEF">
            <w:pPr>
              <w:pStyle w:val="P"/>
              <w:jc w:val="center"/>
              <w:rPr>
                <w:rFonts w:asciiTheme="minorHAnsi" w:hAnsiTheme="minorHAnsi" w:cstheme="minorHAnsi"/>
                <w:szCs w:val="24"/>
              </w:rPr>
            </w:pPr>
            <w:r w:rsidRPr="007664FC">
              <w:rPr>
                <w:rFonts w:asciiTheme="minorHAnsi" w:hAnsiTheme="minorHAnsi" w:cstheme="minorHAnsi"/>
                <w:szCs w:val="24"/>
              </w:rPr>
              <w:t>Forecast Variance             £ million</w:t>
            </w:r>
          </w:p>
        </w:tc>
        <w:tc>
          <w:tcPr>
            <w:tcW w:w="4105" w:type="dxa"/>
          </w:tcPr>
          <w:p w14:paraId="49C746D8" w14:textId="77777777" w:rsidR="00210CEF" w:rsidRPr="0071677B" w:rsidRDefault="00210CEF">
            <w:pPr>
              <w:pStyle w:val="P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033BD0">
              <w:rPr>
                <w:rFonts w:asciiTheme="minorHAnsi" w:hAnsiTheme="minorHAnsi" w:cstheme="minorHAnsi"/>
                <w:szCs w:val="24"/>
              </w:rPr>
              <w:t>Explanation</w:t>
            </w:r>
          </w:p>
        </w:tc>
      </w:tr>
      <w:tr w:rsidR="005A3907" w:rsidRPr="0071677B" w14:paraId="058A797B" w14:textId="77777777" w:rsidTr="726148CE">
        <w:tc>
          <w:tcPr>
            <w:tcW w:w="2689" w:type="dxa"/>
          </w:tcPr>
          <w:p w14:paraId="6A2CE302" w14:textId="77777777" w:rsidR="00AD4DBC" w:rsidRPr="007664FC" w:rsidRDefault="00AD4DBC" w:rsidP="00250413">
            <w:pPr>
              <w:pStyle w:val="P"/>
              <w:rPr>
                <w:rFonts w:asciiTheme="minorHAnsi" w:hAnsiTheme="minorHAnsi" w:cstheme="minorHAnsi"/>
                <w:szCs w:val="24"/>
              </w:rPr>
            </w:pPr>
          </w:p>
          <w:p w14:paraId="2A579ADB" w14:textId="7FEAB4F4" w:rsidR="005A3907" w:rsidRPr="007664FC" w:rsidRDefault="005A3907" w:rsidP="00250413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 w:rsidRPr="007664FC">
              <w:rPr>
                <w:rFonts w:asciiTheme="minorHAnsi" w:hAnsiTheme="minorHAnsi" w:cstheme="minorHAnsi"/>
                <w:szCs w:val="24"/>
              </w:rPr>
              <w:t>Commercial Services</w:t>
            </w:r>
          </w:p>
        </w:tc>
        <w:tc>
          <w:tcPr>
            <w:tcW w:w="1842" w:type="dxa"/>
          </w:tcPr>
          <w:p w14:paraId="3777019A" w14:textId="77777777" w:rsidR="005F75D7" w:rsidRPr="007664FC" w:rsidRDefault="005F75D7" w:rsidP="00F00798">
            <w:pPr>
              <w:pStyle w:val="P"/>
              <w:rPr>
                <w:rFonts w:asciiTheme="minorHAnsi" w:hAnsiTheme="minorHAnsi" w:cstheme="minorHAnsi"/>
                <w:szCs w:val="24"/>
              </w:rPr>
            </w:pPr>
          </w:p>
          <w:p w14:paraId="7DDC8C03" w14:textId="6F8EE370" w:rsidR="005A3907" w:rsidRPr="007664FC" w:rsidRDefault="00947F2D" w:rsidP="00F00798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 w:rsidRPr="007664FC">
              <w:rPr>
                <w:rFonts w:asciiTheme="minorHAnsi" w:hAnsiTheme="minorHAnsi" w:cstheme="minorHAnsi"/>
                <w:szCs w:val="24"/>
              </w:rPr>
              <w:t>(</w:t>
            </w:r>
            <w:r w:rsidR="0050544A" w:rsidRPr="007664FC">
              <w:rPr>
                <w:rFonts w:asciiTheme="minorHAnsi" w:hAnsiTheme="minorHAnsi" w:cstheme="minorHAnsi"/>
                <w:szCs w:val="24"/>
              </w:rPr>
              <w:t>1.</w:t>
            </w:r>
            <w:r w:rsidR="00C23441">
              <w:rPr>
                <w:rFonts w:asciiTheme="minorHAnsi" w:hAnsiTheme="minorHAnsi" w:cstheme="minorHAnsi"/>
                <w:szCs w:val="24"/>
              </w:rPr>
              <w:t>079</w:t>
            </w:r>
            <w:r w:rsidR="00033BD0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4105" w:type="dxa"/>
          </w:tcPr>
          <w:p w14:paraId="10F441BC" w14:textId="55093903" w:rsidR="005A3907" w:rsidRPr="0071677B" w:rsidRDefault="00C23DA4" w:rsidP="00C23DA4">
            <w:pPr>
              <w:pStyle w:val="P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033BD0">
              <w:rPr>
                <w:rFonts w:asciiTheme="minorHAnsi" w:hAnsiTheme="minorHAnsi" w:cstheme="minorHAnsi"/>
                <w:szCs w:val="24"/>
              </w:rPr>
              <w:t>Overachievement</w:t>
            </w:r>
            <w:r w:rsidR="004C79E7" w:rsidRPr="00033BD0">
              <w:rPr>
                <w:rFonts w:asciiTheme="minorHAnsi" w:hAnsiTheme="minorHAnsi" w:cstheme="minorHAnsi"/>
                <w:szCs w:val="24"/>
              </w:rPr>
              <w:t xml:space="preserve"> of income in car parks due to increased demand</w:t>
            </w:r>
            <w:r w:rsidRPr="00033BD0">
              <w:rPr>
                <w:rFonts w:asciiTheme="minorHAnsi" w:hAnsiTheme="minorHAnsi" w:cstheme="minorHAnsi"/>
                <w:szCs w:val="24"/>
              </w:rPr>
              <w:t xml:space="preserve"> has been offset by reduced fee</w:t>
            </w:r>
            <w:r w:rsidR="00F911EA" w:rsidRPr="00033BD0">
              <w:rPr>
                <w:rFonts w:asciiTheme="minorHAnsi" w:hAnsiTheme="minorHAnsi" w:cstheme="minorHAnsi"/>
                <w:szCs w:val="24"/>
              </w:rPr>
              <w:t xml:space="preserve"> income</w:t>
            </w:r>
            <w:r w:rsidRPr="00033BD0">
              <w:rPr>
                <w:rFonts w:asciiTheme="minorHAnsi" w:hAnsiTheme="minorHAnsi" w:cstheme="minorHAnsi"/>
                <w:szCs w:val="24"/>
              </w:rPr>
              <w:t xml:space="preserve"> within Building C</w:t>
            </w:r>
            <w:r w:rsidR="00F911EA" w:rsidRPr="00033BD0">
              <w:rPr>
                <w:rFonts w:asciiTheme="minorHAnsi" w:hAnsiTheme="minorHAnsi" w:cstheme="minorHAnsi"/>
                <w:szCs w:val="24"/>
              </w:rPr>
              <w:t xml:space="preserve">ontrol due to reduced demand. </w:t>
            </w:r>
          </w:p>
        </w:tc>
      </w:tr>
      <w:tr w:rsidR="00EB6058" w:rsidRPr="0071677B" w14:paraId="4F535CE4" w14:textId="77777777" w:rsidTr="726148CE">
        <w:tc>
          <w:tcPr>
            <w:tcW w:w="2689" w:type="dxa"/>
          </w:tcPr>
          <w:p w14:paraId="24808B6D" w14:textId="017D2692" w:rsidR="00EB6058" w:rsidRPr="007664FC" w:rsidRDefault="00EB6058" w:rsidP="00250413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 w:rsidRPr="007664FC">
              <w:rPr>
                <w:rFonts w:asciiTheme="minorHAnsi" w:hAnsiTheme="minorHAnsi" w:cstheme="minorHAnsi"/>
                <w:szCs w:val="24"/>
              </w:rPr>
              <w:t>Corporate Management</w:t>
            </w:r>
          </w:p>
        </w:tc>
        <w:tc>
          <w:tcPr>
            <w:tcW w:w="1842" w:type="dxa"/>
          </w:tcPr>
          <w:p w14:paraId="7271A225" w14:textId="5B4B4F0D" w:rsidR="00EB6058" w:rsidRPr="007664FC" w:rsidRDefault="005F75D7" w:rsidP="00F00798">
            <w:pPr>
              <w:pStyle w:val="P"/>
              <w:rPr>
                <w:rFonts w:asciiTheme="minorHAnsi" w:hAnsiTheme="minorHAnsi" w:cstheme="minorHAnsi"/>
                <w:szCs w:val="24"/>
              </w:rPr>
            </w:pPr>
            <w:r w:rsidRPr="007664FC">
              <w:rPr>
                <w:rFonts w:asciiTheme="minorHAnsi" w:hAnsiTheme="minorHAnsi" w:cstheme="minorHAnsi"/>
                <w:szCs w:val="24"/>
              </w:rPr>
              <w:t>(0.13</w:t>
            </w:r>
            <w:r w:rsidR="00033BD0">
              <w:rPr>
                <w:rFonts w:asciiTheme="minorHAnsi" w:hAnsiTheme="minorHAnsi" w:cstheme="minorHAnsi"/>
                <w:szCs w:val="24"/>
              </w:rPr>
              <w:t>5</w:t>
            </w:r>
            <w:r w:rsidRPr="007664FC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4105" w:type="dxa"/>
          </w:tcPr>
          <w:p w14:paraId="0C666593" w14:textId="4B8FC4A2" w:rsidR="00EB6058" w:rsidRPr="0071677B" w:rsidRDefault="6B36C9B8" w:rsidP="726148CE">
            <w:pPr>
              <w:pStyle w:val="P"/>
              <w:rPr>
                <w:rFonts w:asciiTheme="minorHAnsi" w:hAnsiTheme="minorHAnsi" w:cstheme="minorBidi"/>
                <w:highlight w:val="yellow"/>
              </w:rPr>
            </w:pPr>
            <w:r w:rsidRPr="00033BD0">
              <w:rPr>
                <w:rFonts w:asciiTheme="minorHAnsi" w:hAnsiTheme="minorHAnsi" w:cstheme="minorBidi"/>
              </w:rPr>
              <w:t>Forecast underspent</w:t>
            </w:r>
            <w:r w:rsidR="3E4664C8" w:rsidRPr="00033BD0">
              <w:rPr>
                <w:rFonts w:asciiTheme="minorHAnsi" w:hAnsiTheme="minorHAnsi" w:cstheme="minorBidi"/>
              </w:rPr>
              <w:t xml:space="preserve"> from</w:t>
            </w:r>
            <w:r w:rsidRPr="00033BD0">
              <w:rPr>
                <w:rFonts w:asciiTheme="minorHAnsi" w:hAnsiTheme="minorHAnsi" w:cstheme="minorBidi"/>
              </w:rPr>
              <w:t xml:space="preserve"> savings on staffing due to vacant posts and consultancy which has been offset by additional costs of </w:t>
            </w:r>
            <w:r w:rsidR="0739A64E" w:rsidRPr="00033BD0">
              <w:rPr>
                <w:rFonts w:asciiTheme="minorHAnsi" w:hAnsiTheme="minorHAnsi" w:cstheme="minorBidi"/>
              </w:rPr>
              <w:t>external</w:t>
            </w:r>
            <w:r w:rsidRPr="00033BD0">
              <w:rPr>
                <w:rFonts w:asciiTheme="minorHAnsi" w:hAnsiTheme="minorHAnsi" w:cstheme="minorBidi"/>
              </w:rPr>
              <w:t xml:space="preserve"> Audit.</w:t>
            </w:r>
          </w:p>
        </w:tc>
      </w:tr>
    </w:tbl>
    <w:p w14:paraId="093B42E5" w14:textId="77777777" w:rsidR="00210CEF" w:rsidRPr="00565383" w:rsidRDefault="00210CEF" w:rsidP="00210CEF">
      <w:pPr>
        <w:pStyle w:val="P"/>
        <w:rPr>
          <w:rFonts w:asciiTheme="minorHAnsi" w:hAnsiTheme="minorHAnsi" w:cstheme="minorHAnsi"/>
          <w:szCs w:val="24"/>
        </w:rPr>
      </w:pPr>
    </w:p>
    <w:p w14:paraId="4182064F" w14:textId="77777777" w:rsidR="00210CEF" w:rsidRPr="00565383" w:rsidRDefault="00210CEF" w:rsidP="00210CEF">
      <w:pPr>
        <w:pStyle w:val="P"/>
        <w:rPr>
          <w:rFonts w:asciiTheme="minorHAnsi" w:hAnsiTheme="minorHAnsi" w:cstheme="minorHAnsi"/>
          <w:szCs w:val="24"/>
        </w:rPr>
      </w:pPr>
    </w:p>
    <w:p w14:paraId="3438EA9A" w14:textId="77777777" w:rsidR="00210CEF" w:rsidRPr="00565383" w:rsidRDefault="00210CEF" w:rsidP="00210CEF">
      <w:pPr>
        <w:pStyle w:val="P"/>
        <w:rPr>
          <w:rFonts w:asciiTheme="minorHAnsi" w:hAnsiTheme="minorHAnsi" w:cstheme="minorHAnsi"/>
          <w:szCs w:val="24"/>
        </w:rPr>
      </w:pPr>
    </w:p>
    <w:p w14:paraId="068CF0FD" w14:textId="77777777" w:rsidR="00210CEF" w:rsidRPr="00565383" w:rsidRDefault="00210CEF" w:rsidP="00210CEF">
      <w:pPr>
        <w:pStyle w:val="P"/>
        <w:rPr>
          <w:rFonts w:asciiTheme="minorHAnsi" w:hAnsiTheme="minorHAnsi" w:cstheme="minorHAnsi"/>
          <w:szCs w:val="24"/>
        </w:rPr>
      </w:pPr>
    </w:p>
    <w:p w14:paraId="6805C19F" w14:textId="77777777" w:rsidR="00210CEF" w:rsidRDefault="00210CEF" w:rsidP="00210CEF">
      <w:pPr>
        <w:pStyle w:val="P"/>
        <w:rPr>
          <w:rFonts w:asciiTheme="minorHAnsi" w:hAnsiTheme="minorHAnsi" w:cstheme="minorHAnsi"/>
          <w:szCs w:val="24"/>
        </w:rPr>
      </w:pPr>
    </w:p>
    <w:p w14:paraId="3FE1D4F1" w14:textId="77777777" w:rsidR="00210CEF" w:rsidRDefault="00210CEF" w:rsidP="00210CEF">
      <w:pPr>
        <w:pStyle w:val="P"/>
        <w:rPr>
          <w:rFonts w:asciiTheme="minorHAnsi" w:hAnsiTheme="minorHAnsi" w:cstheme="minorHAnsi"/>
          <w:szCs w:val="24"/>
        </w:rPr>
      </w:pPr>
    </w:p>
    <w:p w14:paraId="55B2F5C5" w14:textId="77777777" w:rsidR="00210CEF" w:rsidRDefault="00210CEF" w:rsidP="00210CEF">
      <w:pPr>
        <w:pStyle w:val="P"/>
        <w:rPr>
          <w:rFonts w:asciiTheme="minorHAnsi" w:hAnsiTheme="minorHAnsi" w:cstheme="minorHAnsi"/>
          <w:szCs w:val="24"/>
        </w:rPr>
      </w:pPr>
    </w:p>
    <w:p w14:paraId="4D8B66B3" w14:textId="77777777" w:rsidR="00210CEF" w:rsidRDefault="00210CEF" w:rsidP="00210CEF">
      <w:pPr>
        <w:pStyle w:val="P"/>
        <w:rPr>
          <w:rFonts w:asciiTheme="minorHAnsi" w:hAnsiTheme="minorHAnsi" w:cstheme="minorHAnsi"/>
          <w:szCs w:val="24"/>
        </w:rPr>
      </w:pPr>
    </w:p>
    <w:p w14:paraId="77EFBC96" w14:textId="77777777" w:rsidR="00210CEF" w:rsidRDefault="00210CEF" w:rsidP="00210CEF">
      <w:pPr>
        <w:pStyle w:val="P"/>
        <w:rPr>
          <w:rFonts w:asciiTheme="minorHAnsi" w:hAnsiTheme="minorHAnsi" w:cstheme="minorHAnsi"/>
          <w:szCs w:val="24"/>
        </w:rPr>
      </w:pPr>
    </w:p>
    <w:p w14:paraId="4322C559" w14:textId="77777777" w:rsidR="00210CEF" w:rsidRDefault="00210CEF" w:rsidP="00210CEF">
      <w:pPr>
        <w:pStyle w:val="P"/>
        <w:rPr>
          <w:rFonts w:asciiTheme="minorHAnsi" w:hAnsiTheme="minorHAnsi" w:cstheme="minorHAnsi"/>
          <w:szCs w:val="24"/>
        </w:rPr>
      </w:pPr>
    </w:p>
    <w:sectPr w:rsidR="00210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1C4F"/>
    <w:multiLevelType w:val="multilevel"/>
    <w:tmpl w:val="0C5A5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7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9432D54"/>
    <w:multiLevelType w:val="multilevel"/>
    <w:tmpl w:val="7BF62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7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A18024D"/>
    <w:multiLevelType w:val="hybridMultilevel"/>
    <w:tmpl w:val="C2387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377736">
    <w:abstractNumId w:val="1"/>
  </w:num>
  <w:num w:numId="2" w16cid:durableId="1440488740">
    <w:abstractNumId w:val="0"/>
  </w:num>
  <w:num w:numId="3" w16cid:durableId="28646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EF"/>
    <w:rsid w:val="000106C6"/>
    <w:rsid w:val="00026F0B"/>
    <w:rsid w:val="00033BD0"/>
    <w:rsid w:val="0004412D"/>
    <w:rsid w:val="00045F91"/>
    <w:rsid w:val="0006233F"/>
    <w:rsid w:val="00064939"/>
    <w:rsid w:val="00064DE2"/>
    <w:rsid w:val="0008306F"/>
    <w:rsid w:val="0008388E"/>
    <w:rsid w:val="000A422C"/>
    <w:rsid w:val="000B2644"/>
    <w:rsid w:val="000E26A6"/>
    <w:rsid w:val="000E62CD"/>
    <w:rsid w:val="000F5563"/>
    <w:rsid w:val="00111171"/>
    <w:rsid w:val="0014132D"/>
    <w:rsid w:val="001437CE"/>
    <w:rsid w:val="00151FC6"/>
    <w:rsid w:val="001528CC"/>
    <w:rsid w:val="0016465D"/>
    <w:rsid w:val="00171A7C"/>
    <w:rsid w:val="00172B6E"/>
    <w:rsid w:val="001A70F4"/>
    <w:rsid w:val="001E4798"/>
    <w:rsid w:val="00202C29"/>
    <w:rsid w:val="00206CE5"/>
    <w:rsid w:val="00210CEF"/>
    <w:rsid w:val="0021402D"/>
    <w:rsid w:val="002156E0"/>
    <w:rsid w:val="00216DC8"/>
    <w:rsid w:val="002277F2"/>
    <w:rsid w:val="00235369"/>
    <w:rsid w:val="00250413"/>
    <w:rsid w:val="00271FC2"/>
    <w:rsid w:val="00275B31"/>
    <w:rsid w:val="00276EE8"/>
    <w:rsid w:val="002807AB"/>
    <w:rsid w:val="00285D9A"/>
    <w:rsid w:val="00295C35"/>
    <w:rsid w:val="002A35E5"/>
    <w:rsid w:val="002C084D"/>
    <w:rsid w:val="002C79ED"/>
    <w:rsid w:val="002D20F5"/>
    <w:rsid w:val="002E035C"/>
    <w:rsid w:val="002E37EC"/>
    <w:rsid w:val="002E4432"/>
    <w:rsid w:val="003002D2"/>
    <w:rsid w:val="00306985"/>
    <w:rsid w:val="003421C8"/>
    <w:rsid w:val="00342861"/>
    <w:rsid w:val="003677BF"/>
    <w:rsid w:val="00382637"/>
    <w:rsid w:val="00384B65"/>
    <w:rsid w:val="00392049"/>
    <w:rsid w:val="003A24B7"/>
    <w:rsid w:val="003B1D70"/>
    <w:rsid w:val="003B3616"/>
    <w:rsid w:val="003B409C"/>
    <w:rsid w:val="003C1004"/>
    <w:rsid w:val="003C29C4"/>
    <w:rsid w:val="003C67F2"/>
    <w:rsid w:val="003F31A5"/>
    <w:rsid w:val="003F4E9A"/>
    <w:rsid w:val="0040223A"/>
    <w:rsid w:val="0041012B"/>
    <w:rsid w:val="00410D77"/>
    <w:rsid w:val="00420186"/>
    <w:rsid w:val="00433689"/>
    <w:rsid w:val="00451C0D"/>
    <w:rsid w:val="00455A93"/>
    <w:rsid w:val="00455BE7"/>
    <w:rsid w:val="0047422D"/>
    <w:rsid w:val="00484E97"/>
    <w:rsid w:val="00494A9D"/>
    <w:rsid w:val="00494CE4"/>
    <w:rsid w:val="004A0103"/>
    <w:rsid w:val="004A0C45"/>
    <w:rsid w:val="004A21B0"/>
    <w:rsid w:val="004A6A0A"/>
    <w:rsid w:val="004C03A0"/>
    <w:rsid w:val="004C79E7"/>
    <w:rsid w:val="004D3199"/>
    <w:rsid w:val="004D634E"/>
    <w:rsid w:val="00504C66"/>
    <w:rsid w:val="0050544A"/>
    <w:rsid w:val="0051265F"/>
    <w:rsid w:val="00512C6C"/>
    <w:rsid w:val="005151FA"/>
    <w:rsid w:val="00536A8A"/>
    <w:rsid w:val="00537ECA"/>
    <w:rsid w:val="005403B2"/>
    <w:rsid w:val="00555FAD"/>
    <w:rsid w:val="00585636"/>
    <w:rsid w:val="00594294"/>
    <w:rsid w:val="005A3907"/>
    <w:rsid w:val="005A43BB"/>
    <w:rsid w:val="005A4A8B"/>
    <w:rsid w:val="005B0934"/>
    <w:rsid w:val="005B7C24"/>
    <w:rsid w:val="005D3D8C"/>
    <w:rsid w:val="005D64C1"/>
    <w:rsid w:val="005F544C"/>
    <w:rsid w:val="005F75D7"/>
    <w:rsid w:val="00611DEB"/>
    <w:rsid w:val="00615E53"/>
    <w:rsid w:val="006169B2"/>
    <w:rsid w:val="00616E63"/>
    <w:rsid w:val="0062341B"/>
    <w:rsid w:val="00626455"/>
    <w:rsid w:val="00635C6F"/>
    <w:rsid w:val="00656D61"/>
    <w:rsid w:val="00667CFC"/>
    <w:rsid w:val="00675312"/>
    <w:rsid w:val="00676A55"/>
    <w:rsid w:val="00686A6B"/>
    <w:rsid w:val="006A169B"/>
    <w:rsid w:val="006A5108"/>
    <w:rsid w:val="006B37D1"/>
    <w:rsid w:val="006C02E3"/>
    <w:rsid w:val="006C4EFD"/>
    <w:rsid w:val="006E0A6D"/>
    <w:rsid w:val="006F6F25"/>
    <w:rsid w:val="0071677B"/>
    <w:rsid w:val="00727BA4"/>
    <w:rsid w:val="00732A79"/>
    <w:rsid w:val="00735243"/>
    <w:rsid w:val="00735CD3"/>
    <w:rsid w:val="007448AB"/>
    <w:rsid w:val="007664FC"/>
    <w:rsid w:val="00770C36"/>
    <w:rsid w:val="007873E5"/>
    <w:rsid w:val="007A38DE"/>
    <w:rsid w:val="007A4A69"/>
    <w:rsid w:val="007B5F92"/>
    <w:rsid w:val="007C401F"/>
    <w:rsid w:val="007C7CE1"/>
    <w:rsid w:val="007D02E2"/>
    <w:rsid w:val="007D418A"/>
    <w:rsid w:val="007E0DB1"/>
    <w:rsid w:val="007E3A2F"/>
    <w:rsid w:val="00800F69"/>
    <w:rsid w:val="00825492"/>
    <w:rsid w:val="0087054F"/>
    <w:rsid w:val="00881232"/>
    <w:rsid w:val="008B6BF0"/>
    <w:rsid w:val="008B7572"/>
    <w:rsid w:val="008C4E20"/>
    <w:rsid w:val="008D00E5"/>
    <w:rsid w:val="008E18AC"/>
    <w:rsid w:val="008E22BE"/>
    <w:rsid w:val="008F400D"/>
    <w:rsid w:val="00920825"/>
    <w:rsid w:val="00925D4D"/>
    <w:rsid w:val="0094317A"/>
    <w:rsid w:val="00947F2D"/>
    <w:rsid w:val="00955915"/>
    <w:rsid w:val="00963E4D"/>
    <w:rsid w:val="00971FFC"/>
    <w:rsid w:val="0098104B"/>
    <w:rsid w:val="009814BB"/>
    <w:rsid w:val="009C5FEB"/>
    <w:rsid w:val="009D3512"/>
    <w:rsid w:val="009E1EFD"/>
    <w:rsid w:val="009F6CC0"/>
    <w:rsid w:val="00A044EB"/>
    <w:rsid w:val="00A054BB"/>
    <w:rsid w:val="00A1396D"/>
    <w:rsid w:val="00A15777"/>
    <w:rsid w:val="00A24671"/>
    <w:rsid w:val="00A3239B"/>
    <w:rsid w:val="00A434AC"/>
    <w:rsid w:val="00A52750"/>
    <w:rsid w:val="00A52B6E"/>
    <w:rsid w:val="00A63340"/>
    <w:rsid w:val="00A70A60"/>
    <w:rsid w:val="00A74658"/>
    <w:rsid w:val="00A76877"/>
    <w:rsid w:val="00A8032E"/>
    <w:rsid w:val="00A843C2"/>
    <w:rsid w:val="00AA5800"/>
    <w:rsid w:val="00AC1384"/>
    <w:rsid w:val="00AD1ED5"/>
    <w:rsid w:val="00AD4DBC"/>
    <w:rsid w:val="00AE0FB7"/>
    <w:rsid w:val="00AF48D8"/>
    <w:rsid w:val="00B21046"/>
    <w:rsid w:val="00B258E0"/>
    <w:rsid w:val="00B408A6"/>
    <w:rsid w:val="00B40F53"/>
    <w:rsid w:val="00B43165"/>
    <w:rsid w:val="00B570C1"/>
    <w:rsid w:val="00B6375E"/>
    <w:rsid w:val="00B65FE2"/>
    <w:rsid w:val="00B66116"/>
    <w:rsid w:val="00B74D91"/>
    <w:rsid w:val="00B8613F"/>
    <w:rsid w:val="00BA04C2"/>
    <w:rsid w:val="00BA38AB"/>
    <w:rsid w:val="00BA6E5A"/>
    <w:rsid w:val="00BB012A"/>
    <w:rsid w:val="00BB05FD"/>
    <w:rsid w:val="00BB14A8"/>
    <w:rsid w:val="00BB1D82"/>
    <w:rsid w:val="00BB23CD"/>
    <w:rsid w:val="00BC472F"/>
    <w:rsid w:val="00BC56E1"/>
    <w:rsid w:val="00BC7994"/>
    <w:rsid w:val="00BD0B91"/>
    <w:rsid w:val="00BD1546"/>
    <w:rsid w:val="00C05A61"/>
    <w:rsid w:val="00C06AA4"/>
    <w:rsid w:val="00C077D2"/>
    <w:rsid w:val="00C212D8"/>
    <w:rsid w:val="00C23441"/>
    <w:rsid w:val="00C23DA4"/>
    <w:rsid w:val="00C5407D"/>
    <w:rsid w:val="00C76DC8"/>
    <w:rsid w:val="00C92D54"/>
    <w:rsid w:val="00C94918"/>
    <w:rsid w:val="00C94CCA"/>
    <w:rsid w:val="00C95CBD"/>
    <w:rsid w:val="00CA66CE"/>
    <w:rsid w:val="00CB2EA2"/>
    <w:rsid w:val="00CC3643"/>
    <w:rsid w:val="00CC6C01"/>
    <w:rsid w:val="00CD1F00"/>
    <w:rsid w:val="00CE49DF"/>
    <w:rsid w:val="00CF4FA1"/>
    <w:rsid w:val="00CF5592"/>
    <w:rsid w:val="00D01661"/>
    <w:rsid w:val="00D17D60"/>
    <w:rsid w:val="00D25F54"/>
    <w:rsid w:val="00D56BA6"/>
    <w:rsid w:val="00D67103"/>
    <w:rsid w:val="00D76E09"/>
    <w:rsid w:val="00D91C60"/>
    <w:rsid w:val="00DB3B15"/>
    <w:rsid w:val="00DC675A"/>
    <w:rsid w:val="00DF0E05"/>
    <w:rsid w:val="00E04C7C"/>
    <w:rsid w:val="00E21E6F"/>
    <w:rsid w:val="00E22431"/>
    <w:rsid w:val="00E3204B"/>
    <w:rsid w:val="00E43560"/>
    <w:rsid w:val="00E44883"/>
    <w:rsid w:val="00E54294"/>
    <w:rsid w:val="00E662F3"/>
    <w:rsid w:val="00E67843"/>
    <w:rsid w:val="00E903BB"/>
    <w:rsid w:val="00E964A6"/>
    <w:rsid w:val="00EB4314"/>
    <w:rsid w:val="00EB6058"/>
    <w:rsid w:val="00EC6404"/>
    <w:rsid w:val="00F00798"/>
    <w:rsid w:val="00F06070"/>
    <w:rsid w:val="00F15963"/>
    <w:rsid w:val="00F21637"/>
    <w:rsid w:val="00F25637"/>
    <w:rsid w:val="00F26971"/>
    <w:rsid w:val="00F67B0B"/>
    <w:rsid w:val="00F911EA"/>
    <w:rsid w:val="00F94CA6"/>
    <w:rsid w:val="00FC2DD7"/>
    <w:rsid w:val="00FD356A"/>
    <w:rsid w:val="00FE7BCE"/>
    <w:rsid w:val="00FF0B9B"/>
    <w:rsid w:val="0739A64E"/>
    <w:rsid w:val="1772AB9C"/>
    <w:rsid w:val="3E4664C8"/>
    <w:rsid w:val="6B36C9B8"/>
    <w:rsid w:val="7261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27C4D"/>
  <w15:chartTrackingRefBased/>
  <w15:docId w15:val="{BE34C6DF-1B34-42A3-9B2A-D791504B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CEF"/>
    <w:pPr>
      <w:spacing w:after="6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link w:val="PChar"/>
    <w:rsid w:val="00210CEF"/>
    <w:pPr>
      <w:spacing w:after="240"/>
    </w:pPr>
    <w:rPr>
      <w:rFonts w:eastAsia="Calibri"/>
      <w:szCs w:val="22"/>
    </w:rPr>
  </w:style>
  <w:style w:type="character" w:customStyle="1" w:styleId="PChar">
    <w:name w:val="P Char"/>
    <w:basedOn w:val="DefaultParagraphFont"/>
    <w:link w:val="P"/>
    <w:rsid w:val="00210CEF"/>
    <w:rPr>
      <w:rFonts w:ascii="Calibri" w:eastAsia="Calibri" w:hAnsi="Calibri" w:cs="Times New Roman"/>
      <w:sz w:val="24"/>
    </w:rPr>
  </w:style>
  <w:style w:type="table" w:styleId="TableGrid">
    <w:name w:val="Table Grid"/>
    <w:basedOn w:val="TableNormal"/>
    <w:uiPriority w:val="59"/>
    <w:rsid w:val="00210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5C8BA29708940BF3DD49953AD406C" ma:contentTypeVersion="20" ma:contentTypeDescription="Create a new document." ma:contentTypeScope="" ma:versionID="f248b36b91f900d064a6939ac846d0b9">
  <xsd:schema xmlns:xsd="http://www.w3.org/2001/XMLSchema" xmlns:xs="http://www.w3.org/2001/XMLSchema" xmlns:p="http://schemas.microsoft.com/office/2006/metadata/properties" xmlns:ns2="9d510633-0715-41ce-bc1a-b570024a2477" xmlns:ns3="cb5a88b5-2d34-450f-b38b-2fa452b5e67b" targetNamespace="http://schemas.microsoft.com/office/2006/metadata/properties" ma:root="true" ma:fieldsID="4ebd2286f20f0a8e9b6832441e158c8a" ns2:_="" ns3:_="">
    <xsd:import namespace="9d510633-0715-41ce-bc1a-b570024a2477"/>
    <xsd:import namespace="cb5a88b5-2d34-450f-b38b-2fa452b5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tim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10633-0715-41ce-bc1a-b570024a2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6973e-1e49-4a6d-84e8-8ff76525d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a88b5-2d34-450f-b38b-2fa452b5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3e6c85-734f-46cf-82e4-ec0e99a8c86d}" ma:internalName="TaxCatchAll" ma:showField="CatchAllData" ma:web="cb5a88b5-2d34-450f-b38b-2fa452b5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5a88b5-2d34-450f-b38b-2fa452b5e67b" xsi:nil="true"/>
    <lcf76f155ced4ddcb4097134ff3c332f xmlns="9d510633-0715-41ce-bc1a-b570024a2477">
      <Terms xmlns="http://schemas.microsoft.com/office/infopath/2007/PartnerControls"/>
    </lcf76f155ced4ddcb4097134ff3c332f>
    <time xmlns="9d510633-0715-41ce-bc1a-b570024a2477" xsi:nil="true"/>
    <_Flow_SignoffStatus xmlns="9d510633-0715-41ce-bc1a-b570024a24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1BF6BB-E0D6-42B7-9621-23B3CC006967}"/>
</file>

<file path=customXml/itemProps2.xml><?xml version="1.0" encoding="utf-8"?>
<ds:datastoreItem xmlns:ds="http://schemas.openxmlformats.org/officeDocument/2006/customXml" ds:itemID="{8B87090A-3402-4D57-BB10-9F1EE3B773B8}">
  <ds:schemaRefs>
    <ds:schemaRef ds:uri="http://schemas.microsoft.com/office/2006/metadata/properties"/>
    <ds:schemaRef ds:uri="http://schemas.microsoft.com/office/infopath/2007/PartnerControls"/>
    <ds:schemaRef ds:uri="cb5a88b5-2d34-450f-b38b-2fa452b5e67b"/>
    <ds:schemaRef ds:uri="9d510633-0715-41ce-bc1a-b570024a2477"/>
  </ds:schemaRefs>
</ds:datastoreItem>
</file>

<file path=customXml/itemProps3.xml><?xml version="1.0" encoding="utf-8"?>
<ds:datastoreItem xmlns:ds="http://schemas.openxmlformats.org/officeDocument/2006/customXml" ds:itemID="{31A07A40-3493-4149-9F33-9C4D01A153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Knight</dc:creator>
  <cp:keywords/>
  <dc:description/>
  <cp:lastModifiedBy>Jo Knight</cp:lastModifiedBy>
  <cp:revision>45</cp:revision>
  <cp:lastPrinted>2023-12-12T13:56:00Z</cp:lastPrinted>
  <dcterms:created xsi:type="dcterms:W3CDTF">2024-01-11T15:05:00Z</dcterms:created>
  <dcterms:modified xsi:type="dcterms:W3CDTF">2024-01-29T15:03:00Z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0x0101002255C8BA29708940BF3DD49953AD406C</vt:lpwstr>
  </property>
  <property fmtid="{D5CDD505-2E9C-101B-9397-08002B2CF9AE}" pid="3" name="MediaServiceImageTags">
    <vt:lpwstr/>
  </property>
</Properties>
</file>